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4D1" w:rsidRPr="004B0214" w:rsidRDefault="007964D1" w:rsidP="00986A9C">
      <w:pPr>
        <w:tabs>
          <w:tab w:val="left" w:pos="1695"/>
        </w:tabs>
      </w:pPr>
    </w:p>
    <w:p w:rsidR="00986A9C" w:rsidRDefault="00986A9C" w:rsidP="00E37BC9">
      <w:pPr>
        <w:tabs>
          <w:tab w:val="left" w:pos="1695"/>
        </w:tabs>
        <w:jc w:val="right"/>
        <w:rPr>
          <w:b/>
        </w:rPr>
      </w:pPr>
      <w:r w:rsidRPr="004B0214">
        <w:rPr>
          <w:b/>
        </w:rPr>
        <w:t xml:space="preserve">КОМЕРЦІЙНА ПРОПОЗИЦІЯ </w:t>
      </w:r>
      <w:r w:rsidR="00E37BC9">
        <w:rPr>
          <w:b/>
        </w:rPr>
        <w:t>№</w:t>
      </w:r>
      <w:r w:rsidR="00EB4A11">
        <w:rPr>
          <w:b/>
        </w:rPr>
        <w:t>1</w:t>
      </w:r>
    </w:p>
    <w:p w:rsidR="00E37BC9" w:rsidRDefault="00E37BC9" w:rsidP="00E37BC9">
      <w:pPr>
        <w:tabs>
          <w:tab w:val="left" w:pos="1695"/>
        </w:tabs>
        <w:jc w:val="right"/>
        <w:rPr>
          <w:b/>
        </w:rPr>
      </w:pPr>
      <w:r>
        <w:rPr>
          <w:b/>
        </w:rPr>
        <w:t>«універсальна»</w:t>
      </w:r>
    </w:p>
    <w:p w:rsidR="00E37BC9" w:rsidRPr="004B0214" w:rsidRDefault="00E37BC9" w:rsidP="00E37BC9">
      <w:pPr>
        <w:tabs>
          <w:tab w:val="left" w:pos="1695"/>
        </w:tabs>
        <w:jc w:val="right"/>
        <w:rPr>
          <w:b/>
        </w:rPr>
      </w:pPr>
      <w:r>
        <w:rPr>
          <w:b/>
        </w:rPr>
        <w:t>Для побутових споживачів</w:t>
      </w:r>
    </w:p>
    <w:p w:rsidR="00986A9C" w:rsidRPr="004B0214" w:rsidRDefault="00986A9C" w:rsidP="00986A9C">
      <w:pPr>
        <w:tabs>
          <w:tab w:val="left" w:pos="1695"/>
        </w:tabs>
        <w:jc w:val="center"/>
      </w:pPr>
    </w:p>
    <w:p w:rsidR="00986A9C" w:rsidRPr="004B0214" w:rsidRDefault="00986A9C" w:rsidP="00986A9C">
      <w:pPr>
        <w:tabs>
          <w:tab w:val="left" w:pos="1695"/>
        </w:tabs>
      </w:pPr>
    </w:p>
    <w:p w:rsidR="00986A9C" w:rsidRPr="004B0214" w:rsidRDefault="00F84DF0" w:rsidP="00965DC9">
      <w:pPr>
        <w:tabs>
          <w:tab w:val="left" w:pos="1695"/>
        </w:tabs>
        <w:jc w:val="both"/>
      </w:pPr>
      <w:r w:rsidRPr="00F84DF0">
        <w:rPr>
          <w:color w:val="000000"/>
        </w:rPr>
        <w:t>Комерційна пропозиція</w:t>
      </w:r>
      <w:r>
        <w:rPr>
          <w:b/>
          <w:color w:val="000000"/>
          <w:u w:val="single"/>
        </w:rPr>
        <w:t xml:space="preserve"> </w:t>
      </w:r>
      <w:r w:rsidR="00986A9C" w:rsidRPr="004B0214">
        <w:rPr>
          <w:b/>
          <w:color w:val="000000"/>
          <w:u w:val="single"/>
        </w:rPr>
        <w:t>ТОВАРИСТВ</w:t>
      </w:r>
      <w:r>
        <w:rPr>
          <w:b/>
          <w:color w:val="000000"/>
          <w:u w:val="single"/>
        </w:rPr>
        <w:t>А</w:t>
      </w:r>
      <w:r w:rsidR="00986A9C" w:rsidRPr="004B0214">
        <w:rPr>
          <w:b/>
          <w:color w:val="000000"/>
          <w:u w:val="single"/>
        </w:rPr>
        <w:t xml:space="preserve"> З ОБМЕЖЕНОЮ ВІДПОВІДАЛЬНІСТЮ "</w:t>
      </w:r>
      <w:r w:rsidR="003C52E5" w:rsidRPr="004B0214">
        <w:rPr>
          <w:b/>
          <w:color w:val="000000"/>
          <w:u w:val="single"/>
        </w:rPr>
        <w:t>ЕНЕРА СХІД</w:t>
      </w:r>
      <w:r w:rsidR="00986A9C" w:rsidRPr="004B0214">
        <w:rPr>
          <w:b/>
          <w:color w:val="000000"/>
          <w:u w:val="single"/>
        </w:rPr>
        <w:t>"</w:t>
      </w:r>
      <w:r w:rsidRPr="00F84DF0">
        <w:rPr>
          <w:b/>
          <w:color w:val="000000"/>
        </w:rPr>
        <w:t xml:space="preserve">,  </w:t>
      </w:r>
      <w:r w:rsidRPr="00F84DF0">
        <w:rPr>
          <w:color w:val="000000"/>
        </w:rPr>
        <w:t>розроблена</w:t>
      </w:r>
      <w:r w:rsidR="004B4AEF">
        <w:rPr>
          <w:color w:val="000000"/>
        </w:rPr>
        <w:t xml:space="preserve"> </w:t>
      </w:r>
      <w:r>
        <w:rPr>
          <w:color w:val="000000"/>
        </w:rPr>
        <w:t>відповідно до Закону України «</w:t>
      </w:r>
      <w:r w:rsidR="004B4AEF">
        <w:rPr>
          <w:color w:val="000000"/>
        </w:rPr>
        <w:t>Про ринок електричної енергії</w:t>
      </w:r>
      <w:r>
        <w:rPr>
          <w:color w:val="000000"/>
        </w:rPr>
        <w:t>»</w:t>
      </w:r>
      <w:r w:rsidR="004B4AEF">
        <w:rPr>
          <w:color w:val="000000"/>
        </w:rPr>
        <w:t xml:space="preserve"> та Правил роздрібного ринку електричної енергії, затверджених постановою НКРЕКП від 14.03.2018р. №312 (далі по тексту - ПРРЕЕ)</w:t>
      </w:r>
    </w:p>
    <w:p w:rsidR="00986A9C" w:rsidRDefault="00986A9C" w:rsidP="00986A9C">
      <w:pPr>
        <w:tabs>
          <w:tab w:val="left" w:pos="1695"/>
        </w:tabs>
      </w:pPr>
    </w:p>
    <w:p w:rsidR="004B4AEF" w:rsidRDefault="004B4AEF" w:rsidP="00986A9C">
      <w:pPr>
        <w:tabs>
          <w:tab w:val="left" w:pos="1695"/>
        </w:tabs>
      </w:pPr>
      <w:r>
        <w:t>Критерії, яким має відповідати споживач для можливості обрання цієї комерційної пропозиції:</w:t>
      </w:r>
    </w:p>
    <w:p w:rsidR="004B4AEF" w:rsidRDefault="004B4AEF" w:rsidP="004B4AEF">
      <w:pPr>
        <w:pStyle w:val="a4"/>
        <w:numPr>
          <w:ilvl w:val="0"/>
          <w:numId w:val="4"/>
        </w:numPr>
        <w:tabs>
          <w:tab w:val="left" w:pos="1695"/>
        </w:tabs>
      </w:pPr>
      <w:r>
        <w:t>Споживач є індивідуальним побутовим споживачем (фізична особа, яка використовує електричну енергію для забезпечення власних побутових потреб, що не включають професійну та/або господарську діяльність), або колективним побутовим споживачем (юридична особа, яка створена шляхом об’єднання фізичних осіб – побутових споживачів та розраховується за електричну енергію за загальним розрахунковим засобом обліку в обсягах електричної енергії, спожитої для забезпечення власних побутових потреб фізичних осіб, що не включають професійну та/або господарську діяльність);</w:t>
      </w:r>
    </w:p>
    <w:p w:rsidR="004B4AEF" w:rsidRDefault="0022650A" w:rsidP="004B4AEF">
      <w:pPr>
        <w:pStyle w:val="a4"/>
        <w:numPr>
          <w:ilvl w:val="0"/>
          <w:numId w:val="4"/>
        </w:numPr>
        <w:tabs>
          <w:tab w:val="left" w:pos="1695"/>
        </w:tabs>
      </w:pPr>
      <w:r>
        <w:t>Споживач є власником (користувачем) об’єкта;</w:t>
      </w:r>
    </w:p>
    <w:p w:rsidR="0022650A" w:rsidRDefault="0022650A" w:rsidP="004B4AEF">
      <w:pPr>
        <w:pStyle w:val="a4"/>
        <w:numPr>
          <w:ilvl w:val="0"/>
          <w:numId w:val="4"/>
        </w:numPr>
        <w:tabs>
          <w:tab w:val="left" w:pos="1695"/>
        </w:tabs>
      </w:pPr>
      <w:r>
        <w:t>Споживач приєднався до умов договору споживача про надання послуг з розподілу електричної енергії;</w:t>
      </w:r>
    </w:p>
    <w:p w:rsidR="0022650A" w:rsidRPr="004B0214" w:rsidRDefault="0022650A" w:rsidP="004B4AEF">
      <w:pPr>
        <w:pStyle w:val="a4"/>
        <w:numPr>
          <w:ilvl w:val="0"/>
          <w:numId w:val="4"/>
        </w:numPr>
        <w:tabs>
          <w:tab w:val="left" w:pos="1695"/>
        </w:tabs>
      </w:pPr>
      <w:r>
        <w:t>Наявний облік електричної енергії забезпечує можливість застосування цін (тарифів), передбачених даною комерційною пропозицією.</w:t>
      </w:r>
    </w:p>
    <w:p w:rsidR="00986A9C" w:rsidRPr="004B0214" w:rsidRDefault="00986A9C" w:rsidP="00986A9C">
      <w:pPr>
        <w:tabs>
          <w:tab w:val="left" w:pos="1695"/>
        </w:tabs>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6523"/>
      </w:tblGrid>
      <w:tr w:rsidR="00986A9C" w:rsidRPr="004B0214" w:rsidTr="00A904D6">
        <w:tc>
          <w:tcPr>
            <w:tcW w:w="3287" w:type="dxa"/>
            <w:shd w:val="clear" w:color="auto" w:fill="auto"/>
          </w:tcPr>
          <w:p w:rsidR="00986A9C" w:rsidRPr="004B0214" w:rsidRDefault="00986A9C" w:rsidP="0022650A">
            <w:pPr>
              <w:pStyle w:val="HTML"/>
              <w:jc w:val="center"/>
              <w:rPr>
                <w:rFonts w:ascii="Times New Roman" w:eastAsia="Calibri" w:hAnsi="Times New Roman" w:cs="Times New Roman"/>
                <w:b/>
                <w:sz w:val="24"/>
                <w:szCs w:val="24"/>
                <w:lang w:val="uk-UA"/>
              </w:rPr>
            </w:pPr>
            <w:r w:rsidRPr="004B0214">
              <w:rPr>
                <w:rFonts w:ascii="Times New Roman" w:eastAsia="Calibri" w:hAnsi="Times New Roman" w:cs="Times New Roman"/>
                <w:b/>
                <w:sz w:val="24"/>
                <w:szCs w:val="24"/>
                <w:lang w:val="uk-UA"/>
              </w:rPr>
              <w:t>Умова</w:t>
            </w:r>
          </w:p>
        </w:tc>
        <w:tc>
          <w:tcPr>
            <w:tcW w:w="6523" w:type="dxa"/>
            <w:shd w:val="clear" w:color="auto" w:fill="auto"/>
          </w:tcPr>
          <w:p w:rsidR="00986A9C" w:rsidRPr="004B0214" w:rsidRDefault="0022650A" w:rsidP="0022650A">
            <w:pPr>
              <w:pStyle w:val="HTML"/>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Комерційна п</w:t>
            </w:r>
            <w:r w:rsidR="00986A9C" w:rsidRPr="004B0214">
              <w:rPr>
                <w:rFonts w:ascii="Times New Roman" w:eastAsia="Calibri" w:hAnsi="Times New Roman" w:cs="Times New Roman"/>
                <w:b/>
                <w:sz w:val="24"/>
                <w:szCs w:val="24"/>
                <w:lang w:val="uk-UA"/>
              </w:rPr>
              <w:t>ропозиція</w:t>
            </w:r>
          </w:p>
        </w:tc>
      </w:tr>
      <w:tr w:rsidR="00E37BC9" w:rsidRPr="004B0214" w:rsidTr="00A904D6">
        <w:tc>
          <w:tcPr>
            <w:tcW w:w="3287" w:type="dxa"/>
            <w:shd w:val="clear" w:color="auto" w:fill="auto"/>
          </w:tcPr>
          <w:p w:rsidR="00E37BC9" w:rsidRPr="004B0214" w:rsidRDefault="00E37BC9" w:rsidP="00E37BC9">
            <w:r>
              <w:t>Територія надання універсальних послуг</w:t>
            </w:r>
          </w:p>
        </w:tc>
        <w:tc>
          <w:tcPr>
            <w:tcW w:w="6523" w:type="dxa"/>
            <w:shd w:val="clear" w:color="auto" w:fill="auto"/>
          </w:tcPr>
          <w:p w:rsidR="00E37BC9" w:rsidRDefault="00E37BC9" w:rsidP="008F11BB">
            <w:pPr>
              <w:ind w:right="34" w:firstLine="320"/>
              <w:jc w:val="both"/>
            </w:pPr>
            <w:r>
              <w:t>Луганська область</w:t>
            </w:r>
          </w:p>
        </w:tc>
      </w:tr>
      <w:tr w:rsidR="00986A9C" w:rsidRPr="004B0214" w:rsidTr="00A904D6">
        <w:tc>
          <w:tcPr>
            <w:tcW w:w="3287" w:type="dxa"/>
            <w:shd w:val="clear" w:color="auto" w:fill="auto"/>
          </w:tcPr>
          <w:p w:rsidR="00986A9C" w:rsidRPr="004B0214" w:rsidRDefault="00986A9C" w:rsidP="00DA0391">
            <w:pPr>
              <w:pStyle w:val="HTML"/>
              <w:rPr>
                <w:rFonts w:ascii="Times New Roman" w:eastAsia="Calibri" w:hAnsi="Times New Roman" w:cs="Times New Roman"/>
                <w:sz w:val="24"/>
                <w:szCs w:val="24"/>
                <w:lang w:val="uk-UA"/>
              </w:rPr>
            </w:pPr>
            <w:r w:rsidRPr="004B0214">
              <w:rPr>
                <w:rFonts w:ascii="Times New Roman" w:eastAsia="Calibri" w:hAnsi="Times New Roman" w:cs="Times New Roman"/>
                <w:sz w:val="24"/>
                <w:szCs w:val="24"/>
                <w:lang w:val="uk-UA"/>
              </w:rPr>
              <w:t>Ціна (тариф) електричної енергії</w:t>
            </w:r>
          </w:p>
        </w:tc>
        <w:tc>
          <w:tcPr>
            <w:tcW w:w="6523" w:type="dxa"/>
            <w:shd w:val="clear" w:color="auto" w:fill="auto"/>
          </w:tcPr>
          <w:p w:rsidR="002A7B16" w:rsidRPr="004B0214" w:rsidRDefault="00162CFF" w:rsidP="00163417">
            <w:pPr>
              <w:ind w:right="34" w:firstLine="320"/>
              <w:jc w:val="both"/>
            </w:pPr>
            <w:r w:rsidRPr="00162CFF">
              <w:t>Постачання електричної енергії здійснюється за регульованим цінами (тарифами) на електроенергію, які розраховуються (визначаються) та доводяться до відома Споживача в порядку, затвердженому постановою КМУ від 05.06.2019 №483 (і</w:t>
            </w:r>
            <w:r w:rsidR="00163417">
              <w:t>з</w:t>
            </w:r>
            <w:bookmarkStart w:id="0" w:name="_GoBack"/>
            <w:bookmarkEnd w:id="0"/>
            <w:r w:rsidRPr="00162CFF">
              <w:t xml:space="preserve"> змінами).</w:t>
            </w:r>
          </w:p>
        </w:tc>
      </w:tr>
      <w:tr w:rsidR="003E45D0" w:rsidRPr="004B0214" w:rsidTr="00A904D6">
        <w:tc>
          <w:tcPr>
            <w:tcW w:w="3287" w:type="dxa"/>
            <w:shd w:val="clear" w:color="auto" w:fill="auto"/>
          </w:tcPr>
          <w:p w:rsidR="003E45D0" w:rsidRPr="004B0214" w:rsidRDefault="003E45D0" w:rsidP="003E45D0">
            <w:pPr>
              <w:pStyle w:val="HTML"/>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Оплата за послугу з розподілу</w:t>
            </w:r>
          </w:p>
        </w:tc>
        <w:tc>
          <w:tcPr>
            <w:tcW w:w="6523" w:type="dxa"/>
            <w:shd w:val="clear" w:color="auto" w:fill="auto"/>
          </w:tcPr>
          <w:p w:rsidR="003E45D0" w:rsidRDefault="003E45D0" w:rsidP="003E45D0">
            <w:pPr>
              <w:ind w:right="34" w:firstLine="320"/>
              <w:jc w:val="both"/>
            </w:pPr>
            <w:r>
              <w:t>Споживач сплачує за послугу з розподілу електричної енергії через Постачальника.</w:t>
            </w:r>
          </w:p>
        </w:tc>
      </w:tr>
      <w:tr w:rsidR="003E45D0" w:rsidRPr="004B0214" w:rsidTr="00A904D6">
        <w:tc>
          <w:tcPr>
            <w:tcW w:w="3287" w:type="dxa"/>
            <w:shd w:val="clear" w:color="auto" w:fill="auto"/>
          </w:tcPr>
          <w:p w:rsidR="003E45D0" w:rsidRPr="004B0214" w:rsidRDefault="003E45D0" w:rsidP="003E45D0">
            <w:pPr>
              <w:pStyle w:val="HTML"/>
              <w:jc w:val="both"/>
              <w:rPr>
                <w:rFonts w:ascii="Times New Roman" w:eastAsia="Calibri" w:hAnsi="Times New Roman" w:cs="Times New Roman"/>
                <w:sz w:val="24"/>
                <w:szCs w:val="24"/>
                <w:lang w:val="uk-UA"/>
              </w:rPr>
            </w:pPr>
            <w:r w:rsidRPr="004B0214">
              <w:rPr>
                <w:rFonts w:ascii="Times New Roman" w:eastAsia="Calibri" w:hAnsi="Times New Roman" w:cs="Times New Roman"/>
                <w:sz w:val="24"/>
                <w:szCs w:val="24"/>
                <w:lang w:val="uk-UA"/>
              </w:rPr>
              <w:t xml:space="preserve">Спосіб оплати </w:t>
            </w:r>
          </w:p>
        </w:tc>
        <w:tc>
          <w:tcPr>
            <w:tcW w:w="6523" w:type="dxa"/>
            <w:shd w:val="clear" w:color="auto" w:fill="auto"/>
          </w:tcPr>
          <w:p w:rsidR="003E45D0" w:rsidRPr="004B0214" w:rsidRDefault="00B248BF" w:rsidP="005A162D">
            <w:pPr>
              <w:ind w:right="34" w:firstLine="320"/>
              <w:jc w:val="both"/>
            </w:pPr>
            <w:r w:rsidRPr="00B248BF">
              <w:t>Оплата електричної енергії здійснюється Споживачем за фактично відпущену електричну енергію згідно з даними комерційного обліку, на поточний рахунок зі спеціальним режимом використання Постачальника, зазначений у Договорі або розрахункових документах.</w:t>
            </w:r>
          </w:p>
        </w:tc>
      </w:tr>
      <w:tr w:rsidR="00376C2D" w:rsidRPr="004B0214" w:rsidTr="00A904D6">
        <w:tc>
          <w:tcPr>
            <w:tcW w:w="3287" w:type="dxa"/>
            <w:shd w:val="clear" w:color="auto" w:fill="auto"/>
          </w:tcPr>
          <w:p w:rsidR="00376C2D" w:rsidRPr="00566ECE" w:rsidRDefault="00376C2D" w:rsidP="00376C2D">
            <w:r w:rsidRPr="00566ECE">
              <w:t xml:space="preserve">Надання рахунку за спожиту електричну енергію та термін його оплати </w:t>
            </w:r>
          </w:p>
        </w:tc>
        <w:tc>
          <w:tcPr>
            <w:tcW w:w="6523" w:type="dxa"/>
            <w:shd w:val="clear" w:color="auto" w:fill="auto"/>
          </w:tcPr>
          <w:p w:rsidR="00376C2D" w:rsidRDefault="00B248BF" w:rsidP="00376C2D">
            <w:pPr>
              <w:ind w:firstLine="320"/>
            </w:pPr>
            <w:r w:rsidRPr="00B248BF">
              <w:t>Постачальник надає рахунок за спожиту електричну енергію  до сплати із зазначенням в ньому обсягу споживання, розрахованого  оператором системи. Оплата  має бути здійснена Споживачем протягом 10 робочих днів від дати його отримання, але не пізніше 20 числа місяця наступного за розрахунковим.</w:t>
            </w:r>
          </w:p>
        </w:tc>
      </w:tr>
      <w:tr w:rsidR="003E45D0" w:rsidRPr="004B0214" w:rsidTr="00A904D6">
        <w:tc>
          <w:tcPr>
            <w:tcW w:w="3287" w:type="dxa"/>
            <w:shd w:val="clear" w:color="auto" w:fill="auto"/>
          </w:tcPr>
          <w:p w:rsidR="003E45D0" w:rsidRPr="004B0214" w:rsidRDefault="003E45D0" w:rsidP="003E45D0">
            <w:pPr>
              <w:pStyle w:val="HTML"/>
              <w:rPr>
                <w:rFonts w:ascii="Times New Roman" w:eastAsia="Calibri" w:hAnsi="Times New Roman" w:cs="Times New Roman"/>
                <w:sz w:val="24"/>
                <w:szCs w:val="24"/>
                <w:lang w:val="uk-UA"/>
              </w:rPr>
            </w:pPr>
            <w:r w:rsidRPr="004B0214">
              <w:rPr>
                <w:rFonts w:ascii="Times New Roman" w:eastAsia="Calibri" w:hAnsi="Times New Roman" w:cs="Times New Roman"/>
                <w:sz w:val="24"/>
                <w:szCs w:val="24"/>
                <w:lang w:val="uk-UA"/>
              </w:rPr>
              <w:t>Розмір компенсації Споживачу за недодержання Постачальником якості надання комерційних послуг</w:t>
            </w:r>
          </w:p>
        </w:tc>
        <w:tc>
          <w:tcPr>
            <w:tcW w:w="6523" w:type="dxa"/>
            <w:shd w:val="clear" w:color="auto" w:fill="auto"/>
          </w:tcPr>
          <w:p w:rsidR="00162CFF" w:rsidRPr="00162CFF" w:rsidRDefault="00162CFF" w:rsidP="00162CFF">
            <w:pPr>
              <w:pStyle w:val="HTML"/>
              <w:ind w:right="34" w:firstLine="320"/>
              <w:jc w:val="both"/>
              <w:rPr>
                <w:rFonts w:ascii="Times New Roman" w:eastAsia="Calibri" w:hAnsi="Times New Roman" w:cs="Times New Roman"/>
                <w:sz w:val="24"/>
                <w:szCs w:val="24"/>
                <w:lang w:val="uk-UA"/>
              </w:rPr>
            </w:pPr>
            <w:r w:rsidRPr="00162CFF">
              <w:rPr>
                <w:rFonts w:ascii="Times New Roman" w:eastAsia="Calibri" w:hAnsi="Times New Roman" w:cs="Times New Roman"/>
                <w:sz w:val="24"/>
                <w:szCs w:val="24"/>
                <w:lang w:val="uk-UA"/>
              </w:rPr>
              <w:t xml:space="preserve">За недотримання Постачальником комерційної якості надання послуг Споживачу надається компенсація в обсягах та у порядку, затверджених Регулятором постановою від 12.06.2018  № 375. Постанова Регулятора щодо надання </w:t>
            </w:r>
            <w:r w:rsidRPr="00162CFF">
              <w:rPr>
                <w:rFonts w:ascii="Times New Roman" w:eastAsia="Calibri" w:hAnsi="Times New Roman" w:cs="Times New Roman"/>
                <w:sz w:val="24"/>
                <w:szCs w:val="24"/>
                <w:lang w:val="uk-UA"/>
              </w:rPr>
              <w:lastRenderedPageBreak/>
              <w:t xml:space="preserve">компенсації Споживачу за недотримання Постачальником комерційної якості надання послуг розміщується на сайті: </w:t>
            </w:r>
          </w:p>
          <w:p w:rsidR="003E45D0" w:rsidRPr="004B0214" w:rsidRDefault="00162CFF" w:rsidP="00162CFF">
            <w:pPr>
              <w:pStyle w:val="HTML"/>
              <w:ind w:right="34"/>
              <w:jc w:val="both"/>
              <w:rPr>
                <w:rFonts w:ascii="Times New Roman" w:eastAsia="Calibri" w:hAnsi="Times New Roman" w:cs="Times New Roman"/>
                <w:sz w:val="24"/>
                <w:szCs w:val="24"/>
                <w:lang w:val="uk-UA"/>
              </w:rPr>
            </w:pPr>
            <w:r w:rsidRPr="00162CFF">
              <w:rPr>
                <w:rFonts w:ascii="Times New Roman" w:eastAsia="Calibri" w:hAnsi="Times New Roman" w:cs="Times New Roman"/>
                <w:sz w:val="24"/>
                <w:szCs w:val="24"/>
                <w:lang w:val="uk-UA"/>
              </w:rPr>
              <w:t>http://lg.enera.ua/</w:t>
            </w:r>
          </w:p>
        </w:tc>
      </w:tr>
      <w:tr w:rsidR="003E45D0" w:rsidRPr="004B0214" w:rsidTr="00A904D6">
        <w:tc>
          <w:tcPr>
            <w:tcW w:w="3287" w:type="dxa"/>
            <w:shd w:val="clear" w:color="auto" w:fill="auto"/>
          </w:tcPr>
          <w:p w:rsidR="003E45D0" w:rsidRPr="004B0214" w:rsidRDefault="003E45D0" w:rsidP="003E45D0">
            <w:pPr>
              <w:pStyle w:val="HTML"/>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Штраф за дострокове припинення договору</w:t>
            </w:r>
          </w:p>
        </w:tc>
        <w:tc>
          <w:tcPr>
            <w:tcW w:w="6523" w:type="dxa"/>
            <w:shd w:val="clear" w:color="auto" w:fill="auto"/>
          </w:tcPr>
          <w:p w:rsidR="003E45D0" w:rsidRPr="004B0214" w:rsidRDefault="003E45D0" w:rsidP="003E45D0">
            <w:pPr>
              <w:pStyle w:val="HTML"/>
              <w:ind w:right="34" w:firstLine="32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Відсутній.</w:t>
            </w:r>
          </w:p>
        </w:tc>
      </w:tr>
      <w:tr w:rsidR="003E45D0" w:rsidRPr="004B0214" w:rsidTr="00A904D6">
        <w:tc>
          <w:tcPr>
            <w:tcW w:w="3287" w:type="dxa"/>
            <w:shd w:val="clear" w:color="auto" w:fill="auto"/>
          </w:tcPr>
          <w:p w:rsidR="003E45D0" w:rsidRPr="004B0214" w:rsidRDefault="003E45D0" w:rsidP="003E45D0">
            <w:pPr>
              <w:pStyle w:val="HTML"/>
              <w:jc w:val="both"/>
              <w:rPr>
                <w:rFonts w:ascii="Times New Roman" w:eastAsia="Calibri" w:hAnsi="Times New Roman" w:cs="Times New Roman"/>
                <w:sz w:val="24"/>
                <w:szCs w:val="24"/>
                <w:lang w:val="uk-UA"/>
              </w:rPr>
            </w:pPr>
            <w:r w:rsidRPr="004B0214">
              <w:rPr>
                <w:rFonts w:ascii="Times New Roman" w:eastAsia="Calibri" w:hAnsi="Times New Roman" w:cs="Times New Roman"/>
                <w:sz w:val="24"/>
                <w:szCs w:val="24"/>
                <w:lang w:val="uk-UA"/>
              </w:rPr>
              <w:t>Термін дії Договору та умови пролонгації</w:t>
            </w:r>
          </w:p>
        </w:tc>
        <w:tc>
          <w:tcPr>
            <w:tcW w:w="6523" w:type="dxa"/>
            <w:shd w:val="clear" w:color="auto" w:fill="auto"/>
          </w:tcPr>
          <w:p w:rsidR="003E45D0" w:rsidRPr="004B0214" w:rsidRDefault="005C0C2A" w:rsidP="00BD0E72">
            <w:pPr>
              <w:ind w:right="34" w:firstLine="320"/>
              <w:jc w:val="both"/>
              <w:rPr>
                <w:rFonts w:eastAsia="Calibri"/>
              </w:rPr>
            </w:pPr>
            <w:r w:rsidRPr="005C0C2A">
              <w:rPr>
                <w:rFonts w:eastAsia="Calibri"/>
              </w:rPr>
              <w:t>Договір укладається на 1 календарний рік та вважається продовженим на кожний наступний календарний рік, якщо не пізніше ніж за 20 днів до закінчення терміну дії Договору жодною із сторін не буде заявлено про припинення його дії</w:t>
            </w:r>
            <w:r>
              <w:rPr>
                <w:rFonts w:eastAsia="Calibri"/>
                <w:lang w:val="ru-RU"/>
              </w:rPr>
              <w:t xml:space="preserve">, </w:t>
            </w:r>
            <w:r w:rsidR="00B41CD1">
              <w:rPr>
                <w:rFonts w:eastAsia="Calibri"/>
              </w:rPr>
              <w:t>або до моменту початку постачання електричної енергії Споживачу іншим Постачальником.</w:t>
            </w:r>
          </w:p>
        </w:tc>
      </w:tr>
      <w:tr w:rsidR="005C0C2A" w:rsidRPr="004B0214" w:rsidTr="00A904D6">
        <w:tc>
          <w:tcPr>
            <w:tcW w:w="3287" w:type="dxa"/>
            <w:shd w:val="clear" w:color="auto" w:fill="auto"/>
          </w:tcPr>
          <w:p w:rsidR="005C0C2A" w:rsidRPr="00956DFE" w:rsidRDefault="005C0C2A" w:rsidP="005C0C2A">
            <w:r w:rsidRPr="00956DFE">
              <w:t>Надання пільг, субсидій</w:t>
            </w:r>
          </w:p>
        </w:tc>
        <w:tc>
          <w:tcPr>
            <w:tcW w:w="6523" w:type="dxa"/>
            <w:shd w:val="clear" w:color="auto" w:fill="auto"/>
          </w:tcPr>
          <w:p w:rsidR="005C0C2A" w:rsidRDefault="005C0C2A" w:rsidP="005C0C2A">
            <w:pPr>
              <w:ind w:firstLine="320"/>
            </w:pPr>
            <w:r w:rsidRPr="00956DFE">
              <w:t>Пільги, субсидії надаються у розмірі та порядку, визначеному чинним законодавством України.</w:t>
            </w:r>
          </w:p>
        </w:tc>
      </w:tr>
      <w:tr w:rsidR="003E45D0" w:rsidRPr="004B0214" w:rsidTr="00A904D6">
        <w:tc>
          <w:tcPr>
            <w:tcW w:w="3287" w:type="dxa"/>
            <w:shd w:val="clear" w:color="auto" w:fill="auto"/>
          </w:tcPr>
          <w:p w:rsidR="003E45D0" w:rsidRPr="004B0214" w:rsidRDefault="003E45D0" w:rsidP="003E45D0">
            <w:pPr>
              <w:pStyle w:val="HTML"/>
              <w:jc w:val="both"/>
              <w:rPr>
                <w:rFonts w:ascii="Times New Roman" w:hAnsi="Times New Roman" w:cs="Times New Roman"/>
                <w:sz w:val="24"/>
                <w:szCs w:val="24"/>
                <w:highlight w:val="green"/>
                <w:lang w:val="uk-UA"/>
              </w:rPr>
            </w:pPr>
            <w:r w:rsidRPr="004B0214">
              <w:rPr>
                <w:rFonts w:ascii="Times New Roman" w:hAnsi="Times New Roman" w:cs="Times New Roman"/>
                <w:sz w:val="24"/>
                <w:szCs w:val="24"/>
                <w:lang w:val="uk-UA"/>
              </w:rPr>
              <w:t>Інші умови</w:t>
            </w:r>
          </w:p>
        </w:tc>
        <w:tc>
          <w:tcPr>
            <w:tcW w:w="6523" w:type="dxa"/>
            <w:shd w:val="clear" w:color="auto" w:fill="auto"/>
          </w:tcPr>
          <w:p w:rsidR="003E45D0" w:rsidRPr="004B0214" w:rsidRDefault="003E45D0" w:rsidP="003E45D0">
            <w:pPr>
              <w:ind w:right="34" w:firstLine="320"/>
              <w:jc w:val="both"/>
            </w:pPr>
            <w:r w:rsidRPr="004B0214">
              <w:t xml:space="preserve">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rsidR="003E45D0" w:rsidRDefault="003E45D0" w:rsidP="003E45D0">
            <w:pPr>
              <w:ind w:right="34" w:firstLine="320"/>
              <w:jc w:val="both"/>
            </w:pPr>
            <w:r w:rsidRPr="004B0214">
              <w:t xml:space="preserve">- </w:t>
            </w:r>
            <w:r>
              <w:t xml:space="preserve"> </w:t>
            </w:r>
            <w:r w:rsidRPr="004B0214">
              <w:t xml:space="preserve">через особистий кабінет </w:t>
            </w:r>
            <w:r>
              <w:t>Споживача;</w:t>
            </w:r>
          </w:p>
          <w:p w:rsidR="003E45D0" w:rsidRPr="004B0214" w:rsidRDefault="003E45D0" w:rsidP="003E45D0">
            <w:pPr>
              <w:ind w:right="34" w:firstLine="320"/>
              <w:jc w:val="both"/>
            </w:pPr>
            <w:r>
              <w:t xml:space="preserve">-  </w:t>
            </w:r>
            <w:r w:rsidRPr="004B0214">
              <w:t>на своєму офіційному сайті у мережі Інтернет</w:t>
            </w:r>
            <w:r>
              <w:t>;</w:t>
            </w:r>
          </w:p>
          <w:p w:rsidR="003E45D0" w:rsidRPr="004B0214" w:rsidRDefault="003E45D0" w:rsidP="003E45D0">
            <w:pPr>
              <w:ind w:right="34" w:firstLine="320"/>
              <w:jc w:val="both"/>
            </w:pPr>
            <w:r w:rsidRPr="004B0214">
              <w:t>-</w:t>
            </w:r>
            <w:r>
              <w:t xml:space="preserve"> </w:t>
            </w:r>
            <w:r w:rsidRPr="004B0214">
              <w:t>засобами електронного зв'язку на електронну адресу вказану у заяві-приєднання до умов договору</w:t>
            </w:r>
            <w:r>
              <w:t>;</w:t>
            </w:r>
            <w:r w:rsidRPr="004B0214">
              <w:t xml:space="preserve"> </w:t>
            </w:r>
          </w:p>
          <w:p w:rsidR="003E45D0" w:rsidRPr="004B0214" w:rsidRDefault="003E45D0" w:rsidP="003E45D0">
            <w:pPr>
              <w:ind w:right="34" w:firstLine="320"/>
              <w:jc w:val="both"/>
            </w:pPr>
            <w:r w:rsidRPr="004B0214">
              <w:t>-</w:t>
            </w:r>
            <w:r>
              <w:t xml:space="preserve"> </w:t>
            </w:r>
            <w:r w:rsidRPr="004B0214">
              <w:t>СМС-повідомленням на номер, зазначений у заяві-приєднання до умов договору</w:t>
            </w:r>
            <w:r>
              <w:t>;</w:t>
            </w:r>
            <w:r w:rsidRPr="004B0214">
              <w:t xml:space="preserve"> </w:t>
            </w:r>
          </w:p>
          <w:p w:rsidR="003E45D0" w:rsidRPr="004B0214" w:rsidRDefault="003E45D0" w:rsidP="003E45D0">
            <w:pPr>
              <w:ind w:right="34" w:firstLine="320"/>
              <w:jc w:val="both"/>
            </w:pPr>
            <w:r w:rsidRPr="004B0214">
              <w:t>-</w:t>
            </w:r>
            <w:r>
              <w:t xml:space="preserve">   </w:t>
            </w:r>
            <w:r w:rsidRPr="004B0214">
              <w:t>в центрах обслуговування споживачів</w:t>
            </w:r>
            <w:r>
              <w:t>;</w:t>
            </w:r>
          </w:p>
          <w:p w:rsidR="003E45D0" w:rsidRPr="004B0214" w:rsidRDefault="003E45D0" w:rsidP="003E45D0">
            <w:pPr>
              <w:ind w:right="34"/>
              <w:jc w:val="both"/>
            </w:pPr>
          </w:p>
        </w:tc>
      </w:tr>
    </w:tbl>
    <w:p w:rsidR="00986A9C" w:rsidRPr="004B0214" w:rsidRDefault="00986A9C" w:rsidP="00986A9C">
      <w:pPr>
        <w:tabs>
          <w:tab w:val="left" w:pos="1695"/>
        </w:tabs>
      </w:pPr>
    </w:p>
    <w:p w:rsidR="00986A9C" w:rsidRPr="004B0214" w:rsidRDefault="00986A9C" w:rsidP="00986A9C">
      <w:pPr>
        <w:tabs>
          <w:tab w:val="left" w:pos="1695"/>
        </w:tabs>
      </w:pPr>
    </w:p>
    <w:p w:rsidR="0053273E" w:rsidRPr="004B0214" w:rsidRDefault="00AD12B0" w:rsidP="004B0214"/>
    <w:sectPr w:rsidR="0053273E" w:rsidRPr="004B0214" w:rsidSect="007964D1">
      <w:headerReference w:type="default" r:id="rId8"/>
      <w:pgSz w:w="11900" w:h="16840"/>
      <w:pgMar w:top="851" w:right="560" w:bottom="709" w:left="1418" w:header="0" w:footer="6" w:gutter="0"/>
      <w:cols w:space="99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2B0" w:rsidRDefault="00AD12B0" w:rsidP="004D7113">
      <w:r>
        <w:separator/>
      </w:r>
    </w:p>
  </w:endnote>
  <w:endnote w:type="continuationSeparator" w:id="0">
    <w:p w:rsidR="00AD12B0" w:rsidRDefault="00AD12B0" w:rsidP="004D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2B0" w:rsidRDefault="00AD12B0" w:rsidP="004D7113">
      <w:r>
        <w:separator/>
      </w:r>
    </w:p>
  </w:footnote>
  <w:footnote w:type="continuationSeparator" w:id="0">
    <w:p w:rsidR="00AD12B0" w:rsidRDefault="00AD12B0" w:rsidP="004D7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B0" w:rsidRDefault="00F84DF0" w:rsidP="00F84DF0">
    <w:pPr>
      <w:pStyle w:val="1"/>
      <w:ind w:left="3544" w:hanging="4537"/>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                                                                                                                                   </w:t>
    </w:r>
    <w:r w:rsidR="002A7B16">
      <w:rPr>
        <w:rFonts w:ascii="Times New Roman" w:hAnsi="Times New Roman" w:cs="Times New Roman"/>
        <w:b w:val="0"/>
        <w:color w:val="auto"/>
        <w:sz w:val="22"/>
        <w:szCs w:val="22"/>
        <w:lang w:val="ru-RU"/>
      </w:rPr>
      <w:t xml:space="preserve">                                             </w:t>
    </w:r>
    <w:r w:rsidR="004D7113" w:rsidRPr="004D7113">
      <w:rPr>
        <w:rFonts w:ascii="Times New Roman" w:hAnsi="Times New Roman" w:cs="Times New Roman"/>
        <w:b w:val="0"/>
        <w:color w:val="auto"/>
        <w:sz w:val="22"/>
        <w:szCs w:val="22"/>
      </w:rPr>
      <w:t xml:space="preserve">Додаток № </w:t>
    </w:r>
    <w:r w:rsidR="007F3508">
      <w:rPr>
        <w:rFonts w:ascii="Times New Roman" w:hAnsi="Times New Roman" w:cs="Times New Roman"/>
        <w:b w:val="0"/>
        <w:color w:val="auto"/>
        <w:sz w:val="22"/>
        <w:szCs w:val="22"/>
      </w:rPr>
      <w:t>3</w:t>
    </w:r>
  </w:p>
  <w:p w:rsidR="00F84DF0" w:rsidRDefault="00F84DF0" w:rsidP="00B87CB0">
    <w:pPr>
      <w:pStyle w:val="1"/>
      <w:spacing w:before="0"/>
      <w:ind w:left="5103"/>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                               </w:t>
    </w:r>
    <w:r w:rsidR="002A7B16">
      <w:rPr>
        <w:rFonts w:ascii="Times New Roman" w:hAnsi="Times New Roman" w:cs="Times New Roman"/>
        <w:b w:val="0"/>
        <w:color w:val="auto"/>
        <w:sz w:val="22"/>
        <w:szCs w:val="22"/>
        <w:lang w:val="ru-RU"/>
      </w:rPr>
      <w:t xml:space="preserve">     </w:t>
    </w:r>
    <w:r>
      <w:rPr>
        <w:rFonts w:ascii="Times New Roman" w:hAnsi="Times New Roman" w:cs="Times New Roman"/>
        <w:b w:val="0"/>
        <w:color w:val="auto"/>
        <w:sz w:val="22"/>
        <w:szCs w:val="22"/>
      </w:rPr>
      <w:t xml:space="preserve">  </w:t>
    </w:r>
    <w:r w:rsidR="002A7B16">
      <w:rPr>
        <w:rFonts w:ascii="Times New Roman" w:hAnsi="Times New Roman" w:cs="Times New Roman"/>
        <w:b w:val="0"/>
        <w:color w:val="auto"/>
        <w:sz w:val="22"/>
        <w:szCs w:val="22"/>
        <w:lang w:val="ru-RU"/>
      </w:rPr>
      <w:t xml:space="preserve"> </w:t>
    </w:r>
    <w:r w:rsidR="004D7113" w:rsidRPr="004D7113">
      <w:rPr>
        <w:rFonts w:ascii="Times New Roman" w:hAnsi="Times New Roman" w:cs="Times New Roman"/>
        <w:b w:val="0"/>
        <w:color w:val="auto"/>
        <w:sz w:val="22"/>
        <w:szCs w:val="22"/>
      </w:rPr>
      <w:t xml:space="preserve">до договору про </w:t>
    </w:r>
    <w:r w:rsidRPr="004D7113">
      <w:rPr>
        <w:rFonts w:ascii="Times New Roman" w:hAnsi="Times New Roman" w:cs="Times New Roman"/>
        <w:b w:val="0"/>
        <w:color w:val="auto"/>
        <w:sz w:val="22"/>
        <w:szCs w:val="22"/>
      </w:rPr>
      <w:t>постачання</w:t>
    </w:r>
  </w:p>
  <w:p w:rsidR="004D7113" w:rsidRPr="004D7113" w:rsidRDefault="00F84DF0" w:rsidP="00F84DF0">
    <w:pPr>
      <w:pStyle w:val="1"/>
      <w:spacing w:before="0"/>
      <w:ind w:left="6237"/>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     </w:t>
    </w:r>
    <w:r w:rsidR="004D7113" w:rsidRPr="004D7113">
      <w:rPr>
        <w:rFonts w:ascii="Times New Roman" w:hAnsi="Times New Roman" w:cs="Times New Roman"/>
        <w:b w:val="0"/>
        <w:color w:val="auto"/>
        <w:sz w:val="22"/>
        <w:szCs w:val="22"/>
      </w:rPr>
      <w:t>електричної</w:t>
    </w:r>
    <w:r>
      <w:rPr>
        <w:rFonts w:ascii="Times New Roman" w:hAnsi="Times New Roman" w:cs="Times New Roman"/>
        <w:b w:val="0"/>
        <w:color w:val="auto"/>
        <w:sz w:val="22"/>
        <w:szCs w:val="22"/>
      </w:rPr>
      <w:t xml:space="preserve"> </w:t>
    </w:r>
    <w:r w:rsidR="004D7113" w:rsidRPr="004D7113">
      <w:rPr>
        <w:rFonts w:ascii="Times New Roman" w:hAnsi="Times New Roman" w:cs="Times New Roman"/>
        <w:b w:val="0"/>
        <w:color w:val="auto"/>
        <w:sz w:val="22"/>
        <w:szCs w:val="22"/>
      </w:rPr>
      <w:t xml:space="preserve">енергії постачальником </w:t>
    </w:r>
    <w:r>
      <w:rPr>
        <w:rFonts w:ascii="Times New Roman" w:hAnsi="Times New Roman" w:cs="Times New Roman"/>
        <w:b w:val="0"/>
        <w:color w:val="auto"/>
        <w:sz w:val="22"/>
        <w:szCs w:val="22"/>
      </w:rPr>
      <w:t xml:space="preserve">        </w:t>
    </w:r>
    <w:r w:rsidR="004D7113" w:rsidRPr="00F84DF0">
      <w:rPr>
        <w:rFonts w:ascii="Times New Roman" w:hAnsi="Times New Roman" w:cs="Times New Roman"/>
        <w:b w:val="0"/>
        <w:color w:val="FFFFFF" w:themeColor="background1"/>
        <w:sz w:val="22"/>
        <w:szCs w:val="22"/>
      </w:rPr>
      <w:t>у</w:t>
    </w:r>
    <w:r w:rsidRPr="00F84DF0">
      <w:rPr>
        <w:rFonts w:ascii="Times New Roman" w:hAnsi="Times New Roman" w:cs="Times New Roman"/>
        <w:b w:val="0"/>
        <w:color w:val="FFFFFF" w:themeColor="background1"/>
        <w:sz w:val="22"/>
        <w:szCs w:val="22"/>
      </w:rPr>
      <w:t xml:space="preserve"> </w:t>
    </w:r>
    <w:r>
      <w:rPr>
        <w:rFonts w:ascii="Times New Roman" w:hAnsi="Times New Roman" w:cs="Times New Roman"/>
        <w:b w:val="0"/>
        <w:color w:val="auto"/>
        <w:sz w:val="22"/>
        <w:szCs w:val="22"/>
      </w:rPr>
      <w:t xml:space="preserve">                       </w:t>
    </w:r>
    <w:r w:rsidR="002A7B16">
      <w:rPr>
        <w:rFonts w:ascii="Times New Roman" w:hAnsi="Times New Roman" w:cs="Times New Roman"/>
        <w:b w:val="0"/>
        <w:color w:val="auto"/>
        <w:sz w:val="22"/>
        <w:szCs w:val="22"/>
        <w:lang w:val="ru-RU"/>
      </w:rPr>
      <w:t xml:space="preserve">   </w:t>
    </w:r>
    <w:r>
      <w:rPr>
        <w:rFonts w:ascii="Times New Roman" w:hAnsi="Times New Roman" w:cs="Times New Roman"/>
        <w:b w:val="0"/>
        <w:color w:val="auto"/>
        <w:sz w:val="22"/>
        <w:szCs w:val="22"/>
      </w:rPr>
      <w:t xml:space="preserve"> у</w:t>
    </w:r>
    <w:r w:rsidR="004D7113" w:rsidRPr="004D7113">
      <w:rPr>
        <w:rFonts w:ascii="Times New Roman" w:hAnsi="Times New Roman" w:cs="Times New Roman"/>
        <w:b w:val="0"/>
        <w:color w:val="auto"/>
        <w:sz w:val="22"/>
        <w:szCs w:val="22"/>
      </w:rPr>
      <w:t>ніверсальних послуг</w:t>
    </w:r>
    <w:r w:rsidR="004D7113">
      <w:rPr>
        <w:rFonts w:ascii="Times New Roman" w:hAnsi="Times New Roman" w:cs="Times New Roman"/>
        <w:b w:val="0"/>
        <w:color w:val="auto"/>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4379C"/>
    <w:multiLevelType w:val="hybridMultilevel"/>
    <w:tmpl w:val="7D521B7A"/>
    <w:lvl w:ilvl="0" w:tplc="484A9952">
      <w:numFmt w:val="bullet"/>
      <w:lvlText w:val="-"/>
      <w:lvlJc w:val="left"/>
      <w:pPr>
        <w:ind w:left="680" w:hanging="360"/>
      </w:pPr>
      <w:rPr>
        <w:rFonts w:ascii="Times New Roman" w:eastAsia="Times New Roman" w:hAnsi="Times New Roman" w:cs="Times New Roman"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1">
    <w:nsid w:val="5812674D"/>
    <w:multiLevelType w:val="hybridMultilevel"/>
    <w:tmpl w:val="2A7AF066"/>
    <w:lvl w:ilvl="0" w:tplc="D178943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755FC9"/>
    <w:multiLevelType w:val="hybridMultilevel"/>
    <w:tmpl w:val="93021F76"/>
    <w:lvl w:ilvl="0" w:tplc="484A99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C82BF9"/>
    <w:multiLevelType w:val="hybridMultilevel"/>
    <w:tmpl w:val="EFAE6FC6"/>
    <w:lvl w:ilvl="0" w:tplc="22B293C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C13"/>
    <w:rsid w:val="00047AE9"/>
    <w:rsid w:val="00053755"/>
    <w:rsid w:val="00072F07"/>
    <w:rsid w:val="000E05EC"/>
    <w:rsid w:val="00116D1B"/>
    <w:rsid w:val="0011722D"/>
    <w:rsid w:val="001265D2"/>
    <w:rsid w:val="00137B1E"/>
    <w:rsid w:val="00141AAF"/>
    <w:rsid w:val="00162CFF"/>
    <w:rsid w:val="00163417"/>
    <w:rsid w:val="00163C07"/>
    <w:rsid w:val="00197A84"/>
    <w:rsid w:val="00223A57"/>
    <w:rsid w:val="0022650A"/>
    <w:rsid w:val="0026402D"/>
    <w:rsid w:val="00273936"/>
    <w:rsid w:val="002A7B16"/>
    <w:rsid w:val="002F2F34"/>
    <w:rsid w:val="00302667"/>
    <w:rsid w:val="00367C6B"/>
    <w:rsid w:val="00376C2D"/>
    <w:rsid w:val="00382C1A"/>
    <w:rsid w:val="003963D0"/>
    <w:rsid w:val="003C52E5"/>
    <w:rsid w:val="003C7171"/>
    <w:rsid w:val="003D57B9"/>
    <w:rsid w:val="003E3951"/>
    <w:rsid w:val="003E45D0"/>
    <w:rsid w:val="004256EA"/>
    <w:rsid w:val="00463864"/>
    <w:rsid w:val="00463FB4"/>
    <w:rsid w:val="004B0214"/>
    <w:rsid w:val="004B4AEF"/>
    <w:rsid w:val="004D629B"/>
    <w:rsid w:val="004D7113"/>
    <w:rsid w:val="004F47AF"/>
    <w:rsid w:val="00503F02"/>
    <w:rsid w:val="00506D09"/>
    <w:rsid w:val="0053266F"/>
    <w:rsid w:val="0055169D"/>
    <w:rsid w:val="005662AB"/>
    <w:rsid w:val="005710CB"/>
    <w:rsid w:val="00584332"/>
    <w:rsid w:val="005A162D"/>
    <w:rsid w:val="005B61EA"/>
    <w:rsid w:val="005B74FD"/>
    <w:rsid w:val="005C0C2A"/>
    <w:rsid w:val="005D726B"/>
    <w:rsid w:val="00605D00"/>
    <w:rsid w:val="00611E0F"/>
    <w:rsid w:val="00615207"/>
    <w:rsid w:val="0064713A"/>
    <w:rsid w:val="00654062"/>
    <w:rsid w:val="006D668A"/>
    <w:rsid w:val="0070425C"/>
    <w:rsid w:val="0072138A"/>
    <w:rsid w:val="0072146E"/>
    <w:rsid w:val="0074641C"/>
    <w:rsid w:val="007964D1"/>
    <w:rsid w:val="007F3508"/>
    <w:rsid w:val="00871941"/>
    <w:rsid w:val="008E1609"/>
    <w:rsid w:val="008E58A2"/>
    <w:rsid w:val="008F11BB"/>
    <w:rsid w:val="00911C2B"/>
    <w:rsid w:val="00932A9A"/>
    <w:rsid w:val="009636A1"/>
    <w:rsid w:val="00965DC9"/>
    <w:rsid w:val="00972EF7"/>
    <w:rsid w:val="00986844"/>
    <w:rsid w:val="00986A9C"/>
    <w:rsid w:val="009921EF"/>
    <w:rsid w:val="009A672C"/>
    <w:rsid w:val="009C7FE9"/>
    <w:rsid w:val="009E4F9B"/>
    <w:rsid w:val="009F2DD6"/>
    <w:rsid w:val="00A1364A"/>
    <w:rsid w:val="00A61D9D"/>
    <w:rsid w:val="00A904D6"/>
    <w:rsid w:val="00A91963"/>
    <w:rsid w:val="00AA15DB"/>
    <w:rsid w:val="00AB2782"/>
    <w:rsid w:val="00AD12B0"/>
    <w:rsid w:val="00AF09A6"/>
    <w:rsid w:val="00B16CA4"/>
    <w:rsid w:val="00B248BF"/>
    <w:rsid w:val="00B41CD1"/>
    <w:rsid w:val="00B70E68"/>
    <w:rsid w:val="00B87CB0"/>
    <w:rsid w:val="00BD0E72"/>
    <w:rsid w:val="00BF3486"/>
    <w:rsid w:val="00C20933"/>
    <w:rsid w:val="00C4234E"/>
    <w:rsid w:val="00C70AEC"/>
    <w:rsid w:val="00C84B84"/>
    <w:rsid w:val="00CC182A"/>
    <w:rsid w:val="00CD5C9F"/>
    <w:rsid w:val="00DA0391"/>
    <w:rsid w:val="00DD5A24"/>
    <w:rsid w:val="00DE5E7C"/>
    <w:rsid w:val="00DE6448"/>
    <w:rsid w:val="00E12C13"/>
    <w:rsid w:val="00E35DD4"/>
    <w:rsid w:val="00E37BC9"/>
    <w:rsid w:val="00E627AD"/>
    <w:rsid w:val="00E76B4F"/>
    <w:rsid w:val="00E9580E"/>
    <w:rsid w:val="00EB25FC"/>
    <w:rsid w:val="00EB4A11"/>
    <w:rsid w:val="00F06E55"/>
    <w:rsid w:val="00F11D39"/>
    <w:rsid w:val="00F13BF8"/>
    <w:rsid w:val="00F40CD7"/>
    <w:rsid w:val="00F502F6"/>
    <w:rsid w:val="00F53040"/>
    <w:rsid w:val="00F54EAE"/>
    <w:rsid w:val="00F84DF0"/>
    <w:rsid w:val="00FB283C"/>
    <w:rsid w:val="00FE623C"/>
    <w:rsid w:val="00FE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E3233C-B367-4EC6-AAD4-C4BB10C3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A9C"/>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047AE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98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rsid w:val="00986A9C"/>
    <w:rPr>
      <w:rFonts w:ascii="Courier New" w:eastAsia="Times New Roman" w:hAnsi="Courier New" w:cs="Courier New"/>
      <w:color w:val="000000"/>
      <w:sz w:val="18"/>
      <w:szCs w:val="18"/>
      <w:lang w:val="ru-RU" w:eastAsia="ru-RU"/>
    </w:rPr>
  </w:style>
  <w:style w:type="character" w:customStyle="1" w:styleId="a3">
    <w:name w:val="Печатная машинка"/>
    <w:rsid w:val="00986A9C"/>
    <w:rPr>
      <w:rFonts w:ascii="Courier New" w:hAnsi="Courier New" w:cs="Courier New"/>
      <w:sz w:val="20"/>
      <w:szCs w:val="20"/>
    </w:rPr>
  </w:style>
  <w:style w:type="paragraph" w:styleId="a4">
    <w:name w:val="List Paragraph"/>
    <w:basedOn w:val="a"/>
    <w:uiPriority w:val="34"/>
    <w:qFormat/>
    <w:rsid w:val="00AB2782"/>
    <w:pPr>
      <w:ind w:left="720"/>
      <w:contextualSpacing/>
    </w:pPr>
  </w:style>
  <w:style w:type="character" w:customStyle="1" w:styleId="10">
    <w:name w:val="Заголовок 1 Знак"/>
    <w:basedOn w:val="a0"/>
    <w:link w:val="1"/>
    <w:uiPriority w:val="9"/>
    <w:rsid w:val="00047AE9"/>
    <w:rPr>
      <w:rFonts w:asciiTheme="majorHAnsi" w:eastAsiaTheme="majorEastAsia" w:hAnsiTheme="majorHAnsi" w:cstheme="majorBidi"/>
      <w:b/>
      <w:bCs/>
      <w:color w:val="2E74B5" w:themeColor="accent1" w:themeShade="BF"/>
      <w:sz w:val="28"/>
      <w:szCs w:val="28"/>
      <w:lang w:val="uk-UA" w:eastAsia="uk-UA"/>
    </w:rPr>
  </w:style>
  <w:style w:type="paragraph" w:styleId="a5">
    <w:name w:val="header"/>
    <w:basedOn w:val="a"/>
    <w:link w:val="a6"/>
    <w:uiPriority w:val="99"/>
    <w:unhideWhenUsed/>
    <w:rsid w:val="004D7113"/>
    <w:pPr>
      <w:tabs>
        <w:tab w:val="center" w:pos="4677"/>
        <w:tab w:val="right" w:pos="9355"/>
      </w:tabs>
    </w:pPr>
  </w:style>
  <w:style w:type="character" w:customStyle="1" w:styleId="a6">
    <w:name w:val="Верхний колонтитул Знак"/>
    <w:basedOn w:val="a0"/>
    <w:link w:val="a5"/>
    <w:uiPriority w:val="99"/>
    <w:rsid w:val="004D7113"/>
    <w:rPr>
      <w:rFonts w:ascii="Times New Roman" w:eastAsia="Times New Roman" w:hAnsi="Times New Roman" w:cs="Times New Roman"/>
      <w:sz w:val="24"/>
      <w:szCs w:val="24"/>
      <w:lang w:val="uk-UA" w:eastAsia="uk-UA"/>
    </w:rPr>
  </w:style>
  <w:style w:type="paragraph" w:styleId="a7">
    <w:name w:val="footer"/>
    <w:basedOn w:val="a"/>
    <w:link w:val="a8"/>
    <w:uiPriority w:val="99"/>
    <w:unhideWhenUsed/>
    <w:rsid w:val="004D7113"/>
    <w:pPr>
      <w:tabs>
        <w:tab w:val="center" w:pos="4677"/>
        <w:tab w:val="right" w:pos="9355"/>
      </w:tabs>
    </w:pPr>
  </w:style>
  <w:style w:type="character" w:customStyle="1" w:styleId="a8">
    <w:name w:val="Нижний колонтитул Знак"/>
    <w:basedOn w:val="a0"/>
    <w:link w:val="a7"/>
    <w:uiPriority w:val="99"/>
    <w:rsid w:val="004D7113"/>
    <w:rPr>
      <w:rFonts w:ascii="Times New Roman" w:eastAsia="Times New Roman" w:hAnsi="Times New Roman" w:cs="Times New Roman"/>
      <w:sz w:val="24"/>
      <w:szCs w:val="24"/>
      <w:lang w:val="uk-UA" w:eastAsia="uk-UA"/>
    </w:rPr>
  </w:style>
  <w:style w:type="table" w:styleId="a9">
    <w:name w:val="Table Grid"/>
    <w:basedOn w:val="a1"/>
    <w:uiPriority w:val="39"/>
    <w:rsid w:val="00704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463FB4"/>
    <w:rPr>
      <w:rFonts w:ascii="Segoe UI" w:hAnsi="Segoe UI" w:cs="Segoe UI"/>
      <w:sz w:val="18"/>
      <w:szCs w:val="18"/>
    </w:rPr>
  </w:style>
  <w:style w:type="character" w:customStyle="1" w:styleId="ab">
    <w:name w:val="Текст выноски Знак"/>
    <w:basedOn w:val="a0"/>
    <w:link w:val="aa"/>
    <w:uiPriority w:val="99"/>
    <w:semiHidden/>
    <w:rsid w:val="00463FB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63559">
      <w:bodyDiv w:val="1"/>
      <w:marLeft w:val="0"/>
      <w:marRight w:val="0"/>
      <w:marTop w:val="0"/>
      <w:marBottom w:val="0"/>
      <w:divBdr>
        <w:top w:val="none" w:sz="0" w:space="0" w:color="auto"/>
        <w:left w:val="none" w:sz="0" w:space="0" w:color="auto"/>
        <w:bottom w:val="none" w:sz="0" w:space="0" w:color="auto"/>
        <w:right w:val="none" w:sz="0" w:space="0" w:color="auto"/>
      </w:divBdr>
      <w:divsChild>
        <w:div w:id="1170564476">
          <w:marLeft w:val="0"/>
          <w:marRight w:val="0"/>
          <w:marTop w:val="0"/>
          <w:marBottom w:val="0"/>
          <w:divBdr>
            <w:top w:val="none" w:sz="0" w:space="0" w:color="auto"/>
            <w:left w:val="none" w:sz="0" w:space="0" w:color="auto"/>
            <w:bottom w:val="none" w:sz="0" w:space="0" w:color="auto"/>
            <w:right w:val="none" w:sz="0" w:space="0" w:color="auto"/>
          </w:divBdr>
        </w:div>
        <w:div w:id="1798403098">
          <w:marLeft w:val="0"/>
          <w:marRight w:val="0"/>
          <w:marTop w:val="0"/>
          <w:marBottom w:val="0"/>
          <w:divBdr>
            <w:top w:val="none" w:sz="0" w:space="0" w:color="auto"/>
            <w:left w:val="none" w:sz="0" w:space="0" w:color="auto"/>
            <w:bottom w:val="none" w:sz="0" w:space="0" w:color="auto"/>
            <w:right w:val="none" w:sz="0" w:space="0" w:color="auto"/>
          </w:divBdr>
        </w:div>
        <w:div w:id="757097482">
          <w:marLeft w:val="0"/>
          <w:marRight w:val="0"/>
          <w:marTop w:val="0"/>
          <w:marBottom w:val="0"/>
          <w:divBdr>
            <w:top w:val="none" w:sz="0" w:space="0" w:color="auto"/>
            <w:left w:val="none" w:sz="0" w:space="0" w:color="auto"/>
            <w:bottom w:val="none" w:sz="0" w:space="0" w:color="auto"/>
            <w:right w:val="none" w:sz="0" w:space="0" w:color="auto"/>
          </w:divBdr>
        </w:div>
        <w:div w:id="1859156148">
          <w:marLeft w:val="0"/>
          <w:marRight w:val="0"/>
          <w:marTop w:val="0"/>
          <w:marBottom w:val="0"/>
          <w:divBdr>
            <w:top w:val="none" w:sz="0" w:space="0" w:color="auto"/>
            <w:left w:val="none" w:sz="0" w:space="0" w:color="auto"/>
            <w:bottom w:val="none" w:sz="0" w:space="0" w:color="auto"/>
            <w:right w:val="none" w:sz="0" w:space="0" w:color="auto"/>
          </w:divBdr>
        </w:div>
        <w:div w:id="1277446707">
          <w:marLeft w:val="0"/>
          <w:marRight w:val="0"/>
          <w:marTop w:val="0"/>
          <w:marBottom w:val="0"/>
          <w:divBdr>
            <w:top w:val="none" w:sz="0" w:space="0" w:color="auto"/>
            <w:left w:val="none" w:sz="0" w:space="0" w:color="auto"/>
            <w:bottom w:val="none" w:sz="0" w:space="0" w:color="auto"/>
            <w:right w:val="none" w:sz="0" w:space="0" w:color="auto"/>
          </w:divBdr>
        </w:div>
      </w:divsChild>
    </w:div>
    <w:div w:id="304824809">
      <w:bodyDiv w:val="1"/>
      <w:marLeft w:val="0"/>
      <w:marRight w:val="0"/>
      <w:marTop w:val="0"/>
      <w:marBottom w:val="0"/>
      <w:divBdr>
        <w:top w:val="none" w:sz="0" w:space="0" w:color="auto"/>
        <w:left w:val="none" w:sz="0" w:space="0" w:color="auto"/>
        <w:bottom w:val="none" w:sz="0" w:space="0" w:color="auto"/>
        <w:right w:val="none" w:sz="0" w:space="0" w:color="auto"/>
      </w:divBdr>
      <w:divsChild>
        <w:div w:id="1126045212">
          <w:marLeft w:val="0"/>
          <w:marRight w:val="0"/>
          <w:marTop w:val="0"/>
          <w:marBottom w:val="0"/>
          <w:divBdr>
            <w:top w:val="none" w:sz="0" w:space="0" w:color="auto"/>
            <w:left w:val="none" w:sz="0" w:space="0" w:color="auto"/>
            <w:bottom w:val="none" w:sz="0" w:space="0" w:color="auto"/>
            <w:right w:val="none" w:sz="0" w:space="0" w:color="auto"/>
          </w:divBdr>
        </w:div>
        <w:div w:id="1180507346">
          <w:marLeft w:val="0"/>
          <w:marRight w:val="0"/>
          <w:marTop w:val="0"/>
          <w:marBottom w:val="0"/>
          <w:divBdr>
            <w:top w:val="none" w:sz="0" w:space="0" w:color="auto"/>
            <w:left w:val="none" w:sz="0" w:space="0" w:color="auto"/>
            <w:bottom w:val="none" w:sz="0" w:space="0" w:color="auto"/>
            <w:right w:val="none" w:sz="0" w:space="0" w:color="auto"/>
          </w:divBdr>
        </w:div>
        <w:div w:id="584605212">
          <w:marLeft w:val="0"/>
          <w:marRight w:val="0"/>
          <w:marTop w:val="0"/>
          <w:marBottom w:val="0"/>
          <w:divBdr>
            <w:top w:val="none" w:sz="0" w:space="0" w:color="auto"/>
            <w:left w:val="none" w:sz="0" w:space="0" w:color="auto"/>
            <w:bottom w:val="none" w:sz="0" w:space="0" w:color="auto"/>
            <w:right w:val="none" w:sz="0" w:space="0" w:color="auto"/>
          </w:divBdr>
        </w:div>
        <w:div w:id="2027824429">
          <w:marLeft w:val="0"/>
          <w:marRight w:val="0"/>
          <w:marTop w:val="0"/>
          <w:marBottom w:val="0"/>
          <w:divBdr>
            <w:top w:val="none" w:sz="0" w:space="0" w:color="auto"/>
            <w:left w:val="none" w:sz="0" w:space="0" w:color="auto"/>
            <w:bottom w:val="none" w:sz="0" w:space="0" w:color="auto"/>
            <w:right w:val="none" w:sz="0" w:space="0" w:color="auto"/>
          </w:divBdr>
        </w:div>
        <w:div w:id="1330908905">
          <w:marLeft w:val="0"/>
          <w:marRight w:val="0"/>
          <w:marTop w:val="0"/>
          <w:marBottom w:val="0"/>
          <w:divBdr>
            <w:top w:val="none" w:sz="0" w:space="0" w:color="auto"/>
            <w:left w:val="none" w:sz="0" w:space="0" w:color="auto"/>
            <w:bottom w:val="none" w:sz="0" w:space="0" w:color="auto"/>
            <w:right w:val="none" w:sz="0" w:space="0" w:color="auto"/>
          </w:divBdr>
        </w:div>
      </w:divsChild>
    </w:div>
    <w:div w:id="1918662036">
      <w:bodyDiv w:val="1"/>
      <w:marLeft w:val="0"/>
      <w:marRight w:val="0"/>
      <w:marTop w:val="0"/>
      <w:marBottom w:val="0"/>
      <w:divBdr>
        <w:top w:val="none" w:sz="0" w:space="0" w:color="auto"/>
        <w:left w:val="none" w:sz="0" w:space="0" w:color="auto"/>
        <w:bottom w:val="none" w:sz="0" w:space="0" w:color="auto"/>
        <w:right w:val="none" w:sz="0" w:space="0" w:color="auto"/>
      </w:divBdr>
      <w:divsChild>
        <w:div w:id="1108740173">
          <w:marLeft w:val="0"/>
          <w:marRight w:val="0"/>
          <w:marTop w:val="0"/>
          <w:marBottom w:val="0"/>
          <w:divBdr>
            <w:top w:val="none" w:sz="0" w:space="0" w:color="auto"/>
            <w:left w:val="none" w:sz="0" w:space="0" w:color="auto"/>
            <w:bottom w:val="none" w:sz="0" w:space="0" w:color="auto"/>
            <w:right w:val="none" w:sz="0" w:space="0" w:color="auto"/>
          </w:divBdr>
        </w:div>
        <w:div w:id="1923220085">
          <w:marLeft w:val="0"/>
          <w:marRight w:val="0"/>
          <w:marTop w:val="0"/>
          <w:marBottom w:val="0"/>
          <w:divBdr>
            <w:top w:val="none" w:sz="0" w:space="0" w:color="auto"/>
            <w:left w:val="none" w:sz="0" w:space="0" w:color="auto"/>
            <w:bottom w:val="none" w:sz="0" w:space="0" w:color="auto"/>
            <w:right w:val="none" w:sz="0" w:space="0" w:color="auto"/>
          </w:divBdr>
        </w:div>
        <w:div w:id="1558468843">
          <w:marLeft w:val="0"/>
          <w:marRight w:val="0"/>
          <w:marTop w:val="0"/>
          <w:marBottom w:val="0"/>
          <w:divBdr>
            <w:top w:val="none" w:sz="0" w:space="0" w:color="auto"/>
            <w:left w:val="none" w:sz="0" w:space="0" w:color="auto"/>
            <w:bottom w:val="none" w:sz="0" w:space="0" w:color="auto"/>
            <w:right w:val="none" w:sz="0" w:space="0" w:color="auto"/>
          </w:divBdr>
        </w:div>
        <w:div w:id="1104224684">
          <w:marLeft w:val="0"/>
          <w:marRight w:val="0"/>
          <w:marTop w:val="0"/>
          <w:marBottom w:val="0"/>
          <w:divBdr>
            <w:top w:val="none" w:sz="0" w:space="0" w:color="auto"/>
            <w:left w:val="none" w:sz="0" w:space="0" w:color="auto"/>
            <w:bottom w:val="none" w:sz="0" w:space="0" w:color="auto"/>
            <w:right w:val="none" w:sz="0" w:space="0" w:color="auto"/>
          </w:divBdr>
        </w:div>
        <w:div w:id="1450511185">
          <w:marLeft w:val="0"/>
          <w:marRight w:val="0"/>
          <w:marTop w:val="0"/>
          <w:marBottom w:val="0"/>
          <w:divBdr>
            <w:top w:val="none" w:sz="0" w:space="0" w:color="auto"/>
            <w:left w:val="none" w:sz="0" w:space="0" w:color="auto"/>
            <w:bottom w:val="none" w:sz="0" w:space="0" w:color="auto"/>
            <w:right w:val="none" w:sz="0" w:space="0" w:color="auto"/>
          </w:divBdr>
        </w:div>
        <w:div w:id="849417449">
          <w:marLeft w:val="0"/>
          <w:marRight w:val="0"/>
          <w:marTop w:val="0"/>
          <w:marBottom w:val="0"/>
          <w:divBdr>
            <w:top w:val="none" w:sz="0" w:space="0" w:color="auto"/>
            <w:left w:val="none" w:sz="0" w:space="0" w:color="auto"/>
            <w:bottom w:val="none" w:sz="0" w:space="0" w:color="auto"/>
            <w:right w:val="none" w:sz="0" w:space="0" w:color="auto"/>
          </w:divBdr>
        </w:div>
        <w:div w:id="1201359125">
          <w:marLeft w:val="0"/>
          <w:marRight w:val="0"/>
          <w:marTop w:val="0"/>
          <w:marBottom w:val="0"/>
          <w:divBdr>
            <w:top w:val="none" w:sz="0" w:space="0" w:color="auto"/>
            <w:left w:val="none" w:sz="0" w:space="0" w:color="auto"/>
            <w:bottom w:val="none" w:sz="0" w:space="0" w:color="auto"/>
            <w:right w:val="none" w:sz="0" w:space="0" w:color="auto"/>
          </w:divBdr>
        </w:div>
        <w:div w:id="1370566107">
          <w:marLeft w:val="0"/>
          <w:marRight w:val="0"/>
          <w:marTop w:val="0"/>
          <w:marBottom w:val="0"/>
          <w:divBdr>
            <w:top w:val="none" w:sz="0" w:space="0" w:color="auto"/>
            <w:left w:val="none" w:sz="0" w:space="0" w:color="auto"/>
            <w:bottom w:val="none" w:sz="0" w:space="0" w:color="auto"/>
            <w:right w:val="none" w:sz="0" w:space="0" w:color="auto"/>
          </w:divBdr>
        </w:div>
        <w:div w:id="932860887">
          <w:marLeft w:val="0"/>
          <w:marRight w:val="0"/>
          <w:marTop w:val="0"/>
          <w:marBottom w:val="0"/>
          <w:divBdr>
            <w:top w:val="none" w:sz="0" w:space="0" w:color="auto"/>
            <w:left w:val="none" w:sz="0" w:space="0" w:color="auto"/>
            <w:bottom w:val="none" w:sz="0" w:space="0" w:color="auto"/>
            <w:right w:val="none" w:sz="0" w:space="0" w:color="auto"/>
          </w:divBdr>
        </w:div>
        <w:div w:id="1904287505">
          <w:marLeft w:val="0"/>
          <w:marRight w:val="0"/>
          <w:marTop w:val="0"/>
          <w:marBottom w:val="0"/>
          <w:divBdr>
            <w:top w:val="none" w:sz="0" w:space="0" w:color="auto"/>
            <w:left w:val="none" w:sz="0" w:space="0" w:color="auto"/>
            <w:bottom w:val="none" w:sz="0" w:space="0" w:color="auto"/>
            <w:right w:val="none" w:sz="0" w:space="0" w:color="auto"/>
          </w:divBdr>
        </w:div>
        <w:div w:id="1480271303">
          <w:marLeft w:val="0"/>
          <w:marRight w:val="0"/>
          <w:marTop w:val="0"/>
          <w:marBottom w:val="0"/>
          <w:divBdr>
            <w:top w:val="none" w:sz="0" w:space="0" w:color="auto"/>
            <w:left w:val="none" w:sz="0" w:space="0" w:color="auto"/>
            <w:bottom w:val="none" w:sz="0" w:space="0" w:color="auto"/>
            <w:right w:val="none" w:sz="0" w:space="0" w:color="auto"/>
          </w:divBdr>
        </w:div>
        <w:div w:id="1329017793">
          <w:marLeft w:val="0"/>
          <w:marRight w:val="0"/>
          <w:marTop w:val="0"/>
          <w:marBottom w:val="0"/>
          <w:divBdr>
            <w:top w:val="none" w:sz="0" w:space="0" w:color="auto"/>
            <w:left w:val="none" w:sz="0" w:space="0" w:color="auto"/>
            <w:bottom w:val="none" w:sz="0" w:space="0" w:color="auto"/>
            <w:right w:val="none" w:sz="0" w:space="0" w:color="auto"/>
          </w:divBdr>
        </w:div>
        <w:div w:id="466435698">
          <w:marLeft w:val="0"/>
          <w:marRight w:val="0"/>
          <w:marTop w:val="0"/>
          <w:marBottom w:val="0"/>
          <w:divBdr>
            <w:top w:val="none" w:sz="0" w:space="0" w:color="auto"/>
            <w:left w:val="none" w:sz="0" w:space="0" w:color="auto"/>
            <w:bottom w:val="none" w:sz="0" w:space="0" w:color="auto"/>
            <w:right w:val="none" w:sz="0" w:space="0" w:color="auto"/>
          </w:divBdr>
        </w:div>
        <w:div w:id="1175681478">
          <w:marLeft w:val="0"/>
          <w:marRight w:val="0"/>
          <w:marTop w:val="0"/>
          <w:marBottom w:val="0"/>
          <w:divBdr>
            <w:top w:val="none" w:sz="0" w:space="0" w:color="auto"/>
            <w:left w:val="none" w:sz="0" w:space="0" w:color="auto"/>
            <w:bottom w:val="none" w:sz="0" w:space="0" w:color="auto"/>
            <w:right w:val="none" w:sz="0" w:space="0" w:color="auto"/>
          </w:divBdr>
        </w:div>
        <w:div w:id="1465658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9BDF9-252C-4109-A1BD-0F4CF598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607</Words>
  <Characters>3464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ООО "Луганское энергетическое объединение"</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Показания</dc:creator>
  <cp:lastModifiedBy>Миршавка Сергей Викторович</cp:lastModifiedBy>
  <cp:revision>14</cp:revision>
  <cp:lastPrinted>2021-06-09T11:10:00Z</cp:lastPrinted>
  <dcterms:created xsi:type="dcterms:W3CDTF">2020-06-17T06:00:00Z</dcterms:created>
  <dcterms:modified xsi:type="dcterms:W3CDTF">2021-06-09T12:14:00Z</dcterms:modified>
</cp:coreProperties>
</file>