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64D1" w:rsidRPr="004B0214" w:rsidRDefault="007964D1" w:rsidP="00986A9C">
      <w:pPr>
        <w:tabs>
          <w:tab w:val="left" w:pos="1695"/>
        </w:tabs>
      </w:pPr>
    </w:p>
    <w:p w:rsidR="00986A9C" w:rsidRDefault="00986A9C" w:rsidP="003B6FBD">
      <w:pPr>
        <w:tabs>
          <w:tab w:val="left" w:pos="1695"/>
        </w:tabs>
        <w:jc w:val="center"/>
        <w:rPr>
          <w:b/>
        </w:rPr>
      </w:pPr>
      <w:r w:rsidRPr="004B0214">
        <w:rPr>
          <w:b/>
        </w:rPr>
        <w:t xml:space="preserve">КОМЕРЦІЙНА ПРОПОЗИЦІЯ </w:t>
      </w:r>
      <w:r w:rsidR="00E37BC9">
        <w:rPr>
          <w:b/>
        </w:rPr>
        <w:t>№</w:t>
      </w:r>
      <w:r w:rsidR="00EB4A11">
        <w:rPr>
          <w:b/>
        </w:rPr>
        <w:t>1</w:t>
      </w:r>
      <w:r w:rsidR="00F75E81">
        <w:rPr>
          <w:b/>
        </w:rPr>
        <w:t>1</w:t>
      </w:r>
      <w:r w:rsidR="00327422">
        <w:rPr>
          <w:b/>
        </w:rPr>
        <w:t>Унп</w:t>
      </w:r>
      <w:r w:rsidR="008142AA">
        <w:rPr>
          <w:b/>
          <w:sz w:val="22"/>
          <w:szCs w:val="22"/>
        </w:rPr>
        <w:t>-2</w:t>
      </w:r>
      <w:r w:rsidR="008142AA">
        <w:rPr>
          <w:b/>
          <w:sz w:val="22"/>
          <w:szCs w:val="22"/>
          <w:lang w:val="en-US"/>
        </w:rPr>
        <w:t>zone</w:t>
      </w:r>
    </w:p>
    <w:p w:rsidR="007F4D6E" w:rsidRPr="007F4D6E" w:rsidRDefault="007F4D6E" w:rsidP="007F4D6E">
      <w:pPr>
        <w:tabs>
          <w:tab w:val="left" w:pos="1695"/>
        </w:tabs>
        <w:jc w:val="center"/>
        <w:rPr>
          <w:b/>
          <w:color w:val="000000"/>
          <w:sz w:val="22"/>
          <w:szCs w:val="22"/>
        </w:rPr>
      </w:pPr>
      <w:r w:rsidRPr="007F4D6E">
        <w:rPr>
          <w:b/>
          <w:color w:val="000000"/>
          <w:sz w:val="22"/>
          <w:szCs w:val="22"/>
        </w:rPr>
        <w:t>(розповсюджується лише на побутових споживачів з часткою споживання на непобутові потреби)</w:t>
      </w:r>
    </w:p>
    <w:p w:rsidR="00986A9C" w:rsidRPr="004B0214" w:rsidRDefault="00986A9C" w:rsidP="00986A9C">
      <w:pPr>
        <w:tabs>
          <w:tab w:val="left" w:pos="1695"/>
        </w:tabs>
        <w:jc w:val="center"/>
      </w:pPr>
    </w:p>
    <w:p w:rsidR="00986A9C" w:rsidRPr="004B0214" w:rsidRDefault="00986A9C" w:rsidP="00986A9C">
      <w:pPr>
        <w:tabs>
          <w:tab w:val="left" w:pos="1695"/>
        </w:tabs>
      </w:pPr>
    </w:p>
    <w:p w:rsidR="00986A9C" w:rsidRDefault="00F84DF0" w:rsidP="00965DC9">
      <w:pPr>
        <w:tabs>
          <w:tab w:val="left" w:pos="1695"/>
        </w:tabs>
        <w:jc w:val="both"/>
        <w:rPr>
          <w:color w:val="000000"/>
        </w:rPr>
      </w:pPr>
      <w:r w:rsidRPr="00F84DF0">
        <w:rPr>
          <w:color w:val="000000"/>
        </w:rPr>
        <w:t>Комерційна пропозиція</w:t>
      </w:r>
      <w:r>
        <w:rPr>
          <w:b/>
          <w:color w:val="000000"/>
          <w:u w:val="single"/>
        </w:rPr>
        <w:t xml:space="preserve"> </w:t>
      </w:r>
      <w:r w:rsidR="00986A9C" w:rsidRPr="004B0214">
        <w:rPr>
          <w:b/>
          <w:color w:val="000000"/>
          <w:u w:val="single"/>
        </w:rPr>
        <w:t>ТОВАРИСТВ</w:t>
      </w:r>
      <w:r>
        <w:rPr>
          <w:b/>
          <w:color w:val="000000"/>
          <w:u w:val="single"/>
        </w:rPr>
        <w:t>А</w:t>
      </w:r>
      <w:r w:rsidR="00986A9C" w:rsidRPr="004B0214">
        <w:rPr>
          <w:b/>
          <w:color w:val="000000"/>
          <w:u w:val="single"/>
        </w:rPr>
        <w:t xml:space="preserve"> З ОБМЕЖЕНОЮ ВІДПОВІДАЛЬНІСТЮ "</w:t>
      </w:r>
      <w:r w:rsidR="003C52E5" w:rsidRPr="004B0214">
        <w:rPr>
          <w:b/>
          <w:color w:val="000000"/>
          <w:u w:val="single"/>
        </w:rPr>
        <w:t>ЕНЕРА СХІД</w:t>
      </w:r>
      <w:r w:rsidR="00986A9C" w:rsidRPr="004B0214">
        <w:rPr>
          <w:b/>
          <w:color w:val="000000"/>
          <w:u w:val="single"/>
        </w:rPr>
        <w:t>"</w:t>
      </w:r>
      <w:r w:rsidRPr="00F84DF0">
        <w:rPr>
          <w:b/>
          <w:color w:val="000000"/>
        </w:rPr>
        <w:t xml:space="preserve">,  </w:t>
      </w:r>
      <w:r w:rsidRPr="00F84DF0">
        <w:rPr>
          <w:color w:val="000000"/>
        </w:rPr>
        <w:t>розроблена</w:t>
      </w:r>
      <w:r w:rsidR="004B4AEF">
        <w:rPr>
          <w:color w:val="000000"/>
        </w:rPr>
        <w:t xml:space="preserve"> </w:t>
      </w:r>
      <w:r>
        <w:rPr>
          <w:color w:val="000000"/>
        </w:rPr>
        <w:t>відповідно до Закону України «</w:t>
      </w:r>
      <w:r w:rsidR="004B4AEF">
        <w:rPr>
          <w:color w:val="000000"/>
        </w:rPr>
        <w:t>Про ринок електричної енергії</w:t>
      </w:r>
      <w:r>
        <w:rPr>
          <w:color w:val="000000"/>
        </w:rPr>
        <w:t>»</w:t>
      </w:r>
      <w:r w:rsidR="004B4AEF">
        <w:rPr>
          <w:color w:val="000000"/>
        </w:rPr>
        <w:t xml:space="preserve"> та Правил роздрібного ринку електричної енергії, затверджених постановою НКРЕКП від 14.03.2018р. №312</w:t>
      </w:r>
      <w:r w:rsidR="001F238E">
        <w:rPr>
          <w:color w:val="000000"/>
        </w:rPr>
        <w:t xml:space="preserve"> зі змінами</w:t>
      </w:r>
      <w:r w:rsidR="004B4AEF">
        <w:rPr>
          <w:color w:val="000000"/>
        </w:rPr>
        <w:t xml:space="preserve"> (далі по тексту - ПРРЕЕ)</w:t>
      </w:r>
      <w:r w:rsidR="001F238E">
        <w:rPr>
          <w:color w:val="000000"/>
        </w:rPr>
        <w:t>.</w:t>
      </w:r>
    </w:p>
    <w:p w:rsidR="001F238E" w:rsidRDefault="001F238E" w:rsidP="00965DC9">
      <w:pPr>
        <w:tabs>
          <w:tab w:val="left" w:pos="1695"/>
        </w:tabs>
        <w:jc w:val="both"/>
        <w:rPr>
          <w:color w:val="000000"/>
        </w:rPr>
      </w:pPr>
    </w:p>
    <w:p w:rsidR="00986A9C" w:rsidRPr="004B0214" w:rsidRDefault="00986A9C" w:rsidP="00986A9C">
      <w:pPr>
        <w:tabs>
          <w:tab w:val="left" w:pos="1695"/>
        </w:tabs>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7"/>
        <w:gridCol w:w="6523"/>
      </w:tblGrid>
      <w:tr w:rsidR="00986A9C" w:rsidRPr="004B0214" w:rsidTr="00A904D6">
        <w:tc>
          <w:tcPr>
            <w:tcW w:w="3287" w:type="dxa"/>
            <w:shd w:val="clear" w:color="auto" w:fill="auto"/>
          </w:tcPr>
          <w:p w:rsidR="00986A9C" w:rsidRPr="004B0214" w:rsidRDefault="00986A9C" w:rsidP="0022650A">
            <w:pPr>
              <w:pStyle w:val="HTML"/>
              <w:jc w:val="center"/>
              <w:rPr>
                <w:rFonts w:ascii="Times New Roman" w:eastAsia="Calibri" w:hAnsi="Times New Roman" w:cs="Times New Roman"/>
                <w:b/>
                <w:sz w:val="24"/>
                <w:szCs w:val="24"/>
                <w:lang w:val="uk-UA"/>
              </w:rPr>
            </w:pPr>
            <w:r w:rsidRPr="004B0214">
              <w:rPr>
                <w:rFonts w:ascii="Times New Roman" w:eastAsia="Calibri" w:hAnsi="Times New Roman" w:cs="Times New Roman"/>
                <w:b/>
                <w:sz w:val="24"/>
                <w:szCs w:val="24"/>
                <w:lang w:val="uk-UA"/>
              </w:rPr>
              <w:t>Умова</w:t>
            </w:r>
          </w:p>
        </w:tc>
        <w:tc>
          <w:tcPr>
            <w:tcW w:w="6523" w:type="dxa"/>
            <w:shd w:val="clear" w:color="auto" w:fill="auto"/>
          </w:tcPr>
          <w:p w:rsidR="00986A9C" w:rsidRPr="004B0214" w:rsidRDefault="0022650A" w:rsidP="0022650A">
            <w:pPr>
              <w:pStyle w:val="HTML"/>
              <w:jc w:val="center"/>
              <w:rPr>
                <w:rFonts w:ascii="Times New Roman" w:eastAsia="Calibri" w:hAnsi="Times New Roman" w:cs="Times New Roman"/>
                <w:b/>
                <w:sz w:val="24"/>
                <w:szCs w:val="24"/>
                <w:lang w:val="uk-UA"/>
              </w:rPr>
            </w:pPr>
            <w:r>
              <w:rPr>
                <w:rFonts w:ascii="Times New Roman" w:eastAsia="Calibri" w:hAnsi="Times New Roman" w:cs="Times New Roman"/>
                <w:b/>
                <w:sz w:val="24"/>
                <w:szCs w:val="24"/>
                <w:lang w:val="uk-UA"/>
              </w:rPr>
              <w:t>Комерційна п</w:t>
            </w:r>
            <w:r w:rsidR="00986A9C" w:rsidRPr="004B0214">
              <w:rPr>
                <w:rFonts w:ascii="Times New Roman" w:eastAsia="Calibri" w:hAnsi="Times New Roman" w:cs="Times New Roman"/>
                <w:b/>
                <w:sz w:val="24"/>
                <w:szCs w:val="24"/>
                <w:lang w:val="uk-UA"/>
              </w:rPr>
              <w:t>ропозиція</w:t>
            </w:r>
          </w:p>
        </w:tc>
      </w:tr>
      <w:tr w:rsidR="00B21C32" w:rsidRPr="004B0214" w:rsidTr="00A904D6">
        <w:tc>
          <w:tcPr>
            <w:tcW w:w="3287" w:type="dxa"/>
            <w:shd w:val="clear" w:color="auto" w:fill="auto"/>
          </w:tcPr>
          <w:p w:rsidR="00B21C32" w:rsidRPr="004B0214" w:rsidRDefault="00B21C32" w:rsidP="0022650A">
            <w:pPr>
              <w:pStyle w:val="HTML"/>
              <w:jc w:val="center"/>
              <w:rPr>
                <w:rFonts w:ascii="Times New Roman" w:eastAsia="Calibri" w:hAnsi="Times New Roman" w:cs="Times New Roman"/>
                <w:b/>
                <w:sz w:val="24"/>
                <w:szCs w:val="24"/>
                <w:lang w:val="uk-UA"/>
              </w:rPr>
            </w:pPr>
            <w:r w:rsidRPr="004045F1">
              <w:rPr>
                <w:rFonts w:ascii="Times New Roman" w:hAnsi="Times New Roman" w:cs="Times New Roman"/>
                <w:b/>
                <w:bCs/>
                <w:sz w:val="22"/>
                <w:szCs w:val="22"/>
                <w:lang w:val="uk-UA"/>
              </w:rPr>
              <w:t>Критерії, яким має відповідати особа, що обирає дану комерційну пропозицію</w:t>
            </w:r>
          </w:p>
        </w:tc>
        <w:tc>
          <w:tcPr>
            <w:tcW w:w="6523" w:type="dxa"/>
            <w:shd w:val="clear" w:color="auto" w:fill="auto"/>
          </w:tcPr>
          <w:p w:rsidR="00F75E81" w:rsidRPr="00D1202E" w:rsidRDefault="00B21C32" w:rsidP="00F75E81">
            <w:pPr>
              <w:pStyle w:val="HTML"/>
              <w:jc w:val="both"/>
              <w:rPr>
                <w:rFonts w:ascii="Times New Roman" w:hAnsi="Times New Roman" w:cs="Times New Roman"/>
                <w:sz w:val="22"/>
                <w:szCs w:val="22"/>
                <w:lang w:val="uk-UA"/>
              </w:rPr>
            </w:pPr>
            <w:r w:rsidRPr="00D1202E">
              <w:rPr>
                <w:rFonts w:ascii="Times New Roman" w:hAnsi="Times New Roman" w:cs="Times New Roman"/>
                <w:sz w:val="22"/>
                <w:szCs w:val="22"/>
                <w:lang w:val="uk-UA"/>
              </w:rPr>
              <w:t xml:space="preserve">- </w:t>
            </w:r>
            <w:r w:rsidR="00F75E81" w:rsidRPr="00D1202E">
              <w:rPr>
                <w:rFonts w:ascii="Times New Roman" w:hAnsi="Times New Roman" w:cs="Times New Roman"/>
                <w:sz w:val="22"/>
                <w:szCs w:val="22"/>
                <w:lang w:val="uk-UA"/>
              </w:rPr>
              <w:t xml:space="preserve">Фізична особа є власником (користувачем) об’єкта; </w:t>
            </w:r>
          </w:p>
          <w:p w:rsidR="00F75E81" w:rsidRPr="00183B16" w:rsidRDefault="00F75E81" w:rsidP="00F75E81">
            <w:pPr>
              <w:pStyle w:val="HTML"/>
              <w:jc w:val="both"/>
              <w:rPr>
                <w:rFonts w:ascii="Times New Roman" w:hAnsi="Times New Roman" w:cs="Times New Roman"/>
                <w:sz w:val="22"/>
                <w:szCs w:val="22"/>
                <w:lang w:val="uk-UA"/>
              </w:rPr>
            </w:pPr>
            <w:r w:rsidRPr="00D1202E">
              <w:rPr>
                <w:rFonts w:ascii="Times New Roman" w:hAnsi="Times New Roman" w:cs="Times New Roman"/>
                <w:sz w:val="22"/>
                <w:szCs w:val="22"/>
                <w:lang w:val="uk-UA"/>
              </w:rPr>
              <w:t xml:space="preserve">- </w:t>
            </w:r>
            <w:r w:rsidRPr="00A5432A">
              <w:rPr>
                <w:rFonts w:ascii="Times New Roman" w:hAnsi="Times New Roman" w:cs="Times New Roman"/>
                <w:sz w:val="22"/>
                <w:szCs w:val="22"/>
                <w:lang w:val="uk-UA"/>
              </w:rPr>
              <w:t>н</w:t>
            </w:r>
            <w:r w:rsidRPr="00183B16">
              <w:rPr>
                <w:rFonts w:ascii="Times New Roman" w:hAnsi="Times New Roman" w:cs="Times New Roman"/>
                <w:sz w:val="22"/>
                <w:szCs w:val="22"/>
                <w:lang w:val="uk-UA"/>
              </w:rPr>
              <w:t xml:space="preserve">аявний Комерційний облік електричної енергії, що забезпечує можливість застосування цін (тарифів) за 2-зонним обліком, що передбачено даною Комерційною пропозицією; </w:t>
            </w:r>
          </w:p>
          <w:p w:rsidR="00F75E81" w:rsidRPr="00197F08" w:rsidRDefault="00F75E81" w:rsidP="00F75E81">
            <w:pPr>
              <w:pStyle w:val="HTML"/>
              <w:jc w:val="both"/>
              <w:rPr>
                <w:rFonts w:ascii="Times New Roman" w:hAnsi="Times New Roman" w:cs="Times New Roman"/>
                <w:sz w:val="22"/>
                <w:szCs w:val="22"/>
                <w:lang w:val="uk-UA"/>
              </w:rPr>
            </w:pPr>
            <w:r w:rsidRPr="00197F08">
              <w:rPr>
                <w:rFonts w:ascii="Times New Roman" w:hAnsi="Times New Roman" w:cs="Times New Roman"/>
                <w:sz w:val="22"/>
                <w:szCs w:val="22"/>
                <w:lang w:val="uk-UA"/>
              </w:rPr>
              <w:t xml:space="preserve">- об’єкт споживача передбачає споживання електричної енергії для побутових та непобутових  потреб;  </w:t>
            </w:r>
          </w:p>
          <w:p w:rsidR="00F75E81" w:rsidRPr="00D1202E" w:rsidRDefault="00F75E81" w:rsidP="00F75E81">
            <w:pPr>
              <w:pStyle w:val="HTML"/>
              <w:jc w:val="both"/>
              <w:rPr>
                <w:rFonts w:ascii="Times New Roman" w:hAnsi="Times New Roman" w:cs="Times New Roman"/>
                <w:sz w:val="22"/>
                <w:szCs w:val="22"/>
                <w:lang w:val="uk-UA"/>
              </w:rPr>
            </w:pPr>
            <w:r w:rsidRPr="00197F08">
              <w:rPr>
                <w:rFonts w:ascii="Times New Roman" w:hAnsi="Times New Roman" w:cs="Times New Roman"/>
                <w:sz w:val="22"/>
                <w:szCs w:val="22"/>
                <w:lang w:val="uk-UA"/>
              </w:rPr>
              <w:t>- об’єкт споживача приєднаний до мереж оператора системи у встановленому законодавством порядку;</w:t>
            </w:r>
            <w:r w:rsidRPr="00D1202E">
              <w:rPr>
                <w:rFonts w:ascii="Times New Roman" w:hAnsi="Times New Roman" w:cs="Times New Roman"/>
                <w:sz w:val="22"/>
                <w:szCs w:val="22"/>
                <w:lang w:val="uk-UA"/>
              </w:rPr>
              <w:t xml:space="preserve"> </w:t>
            </w:r>
          </w:p>
          <w:p w:rsidR="00F75E81" w:rsidRPr="00D1202E" w:rsidRDefault="00F75E81" w:rsidP="00F75E81">
            <w:pPr>
              <w:pStyle w:val="HTML"/>
              <w:jc w:val="both"/>
              <w:rPr>
                <w:rFonts w:ascii="Times New Roman" w:hAnsi="Times New Roman" w:cs="Times New Roman"/>
                <w:sz w:val="22"/>
                <w:szCs w:val="22"/>
                <w:lang w:val="uk-UA"/>
              </w:rPr>
            </w:pPr>
            <w:r>
              <w:rPr>
                <w:rFonts w:ascii="Times New Roman" w:hAnsi="Times New Roman" w:cs="Times New Roman"/>
                <w:sz w:val="22"/>
                <w:szCs w:val="22"/>
                <w:lang w:val="uk-UA"/>
              </w:rPr>
              <w:t>- с</w:t>
            </w:r>
            <w:r w:rsidRPr="00D1202E">
              <w:rPr>
                <w:rFonts w:ascii="Times New Roman" w:hAnsi="Times New Roman" w:cs="Times New Roman"/>
                <w:sz w:val="22"/>
                <w:szCs w:val="22"/>
                <w:lang w:val="uk-UA"/>
              </w:rPr>
              <w:t xml:space="preserve">поживач є стороною діючого договору про надання послуг з розподілу (передачі) електричної енергії; </w:t>
            </w:r>
          </w:p>
          <w:p w:rsidR="00B21C32" w:rsidRDefault="00F75E81" w:rsidP="00F75E81">
            <w:pPr>
              <w:pStyle w:val="HTML"/>
              <w:jc w:val="both"/>
              <w:rPr>
                <w:rFonts w:ascii="Times New Roman" w:eastAsia="Calibri" w:hAnsi="Times New Roman" w:cs="Times New Roman"/>
                <w:b/>
                <w:sz w:val="24"/>
                <w:szCs w:val="24"/>
                <w:lang w:val="uk-UA"/>
              </w:rPr>
            </w:pPr>
            <w:r>
              <w:rPr>
                <w:rFonts w:ascii="Times New Roman" w:hAnsi="Times New Roman" w:cs="Times New Roman"/>
                <w:sz w:val="22"/>
                <w:szCs w:val="22"/>
                <w:lang w:val="uk-UA"/>
              </w:rPr>
              <w:t>- с</w:t>
            </w:r>
            <w:r w:rsidRPr="00D1202E">
              <w:rPr>
                <w:rFonts w:ascii="Times New Roman" w:hAnsi="Times New Roman" w:cs="Times New Roman"/>
                <w:sz w:val="22"/>
                <w:szCs w:val="22"/>
                <w:lang w:val="uk-UA"/>
              </w:rPr>
              <w:t>поживач, підписуючи дану Комерційну пропозицію, підтверджує відсутність факту припинення/призупинення/обмеження постачання (розподілу) електричної енергії у випадках, передбачених чинним законодавством України (КСР, ПРРЕЕ тощо).</w:t>
            </w:r>
          </w:p>
        </w:tc>
      </w:tr>
      <w:tr w:rsidR="00E37BC9" w:rsidRPr="004B0214" w:rsidTr="00A904D6">
        <w:tc>
          <w:tcPr>
            <w:tcW w:w="3287" w:type="dxa"/>
            <w:shd w:val="clear" w:color="auto" w:fill="auto"/>
          </w:tcPr>
          <w:p w:rsidR="00E37BC9" w:rsidRDefault="00E37BC9" w:rsidP="00E37BC9">
            <w:pPr>
              <w:rPr>
                <w:b/>
              </w:rPr>
            </w:pPr>
            <w:r w:rsidRPr="001F238E">
              <w:rPr>
                <w:b/>
              </w:rPr>
              <w:t>Територія надання універсальних послуг</w:t>
            </w:r>
          </w:p>
          <w:p w:rsidR="00E862A3" w:rsidRDefault="00E862A3" w:rsidP="00E37BC9">
            <w:pPr>
              <w:rPr>
                <w:b/>
              </w:rPr>
            </w:pPr>
          </w:p>
          <w:p w:rsidR="00E862A3" w:rsidRPr="001F238E" w:rsidRDefault="00E862A3" w:rsidP="00E37BC9">
            <w:pPr>
              <w:rPr>
                <w:b/>
              </w:rPr>
            </w:pPr>
          </w:p>
        </w:tc>
        <w:tc>
          <w:tcPr>
            <w:tcW w:w="6523" w:type="dxa"/>
            <w:shd w:val="clear" w:color="auto" w:fill="auto"/>
          </w:tcPr>
          <w:p w:rsidR="00E37BC9" w:rsidRDefault="00E37BC9" w:rsidP="008F11BB">
            <w:pPr>
              <w:ind w:right="34" w:firstLine="320"/>
              <w:jc w:val="both"/>
            </w:pPr>
            <w:r>
              <w:t>Луганська область</w:t>
            </w:r>
          </w:p>
        </w:tc>
      </w:tr>
      <w:tr w:rsidR="00986A9C" w:rsidRPr="004B0214" w:rsidTr="00A904D6">
        <w:tc>
          <w:tcPr>
            <w:tcW w:w="3287" w:type="dxa"/>
            <w:shd w:val="clear" w:color="auto" w:fill="auto"/>
          </w:tcPr>
          <w:p w:rsidR="00986A9C" w:rsidRPr="00D33053" w:rsidRDefault="00374BE3" w:rsidP="00DA0391">
            <w:pPr>
              <w:pStyle w:val="HTML"/>
              <w:rPr>
                <w:rFonts w:ascii="Times New Roman" w:eastAsia="Calibri" w:hAnsi="Times New Roman" w:cs="Times New Roman"/>
                <w:b/>
                <w:sz w:val="24"/>
                <w:szCs w:val="24"/>
                <w:lang w:val="uk-UA"/>
              </w:rPr>
            </w:pPr>
            <w:r w:rsidRPr="00D33053">
              <w:rPr>
                <w:rFonts w:ascii="Times New Roman" w:eastAsia="Calibri" w:hAnsi="Times New Roman" w:cs="Times New Roman"/>
                <w:b/>
                <w:bCs/>
                <w:sz w:val="22"/>
                <w:szCs w:val="22"/>
                <w:lang w:val="uk-UA"/>
              </w:rPr>
              <w:t>Ціна на електричну енергію, у тому числі диференційовані ціни та критерії диференціації</w:t>
            </w:r>
          </w:p>
        </w:tc>
        <w:tc>
          <w:tcPr>
            <w:tcW w:w="6523" w:type="dxa"/>
            <w:shd w:val="clear" w:color="auto" w:fill="auto"/>
          </w:tcPr>
          <w:p w:rsidR="00F75E81" w:rsidRDefault="00A52D0C" w:rsidP="00F75E81">
            <w:pPr>
              <w:jc w:val="both"/>
              <w:rPr>
                <w:sz w:val="22"/>
                <w:szCs w:val="22"/>
              </w:rPr>
            </w:pPr>
            <w:r w:rsidRPr="00D33053">
              <w:rPr>
                <w:rFonts w:ascii="Trebuchet MS" w:hAnsi="Trebuchet MS"/>
                <w:sz w:val="20"/>
                <w:szCs w:val="20"/>
              </w:rPr>
              <w:t xml:space="preserve">   </w:t>
            </w:r>
            <w:r w:rsidR="00F75E81" w:rsidRPr="00D1202E">
              <w:rPr>
                <w:sz w:val="22"/>
                <w:szCs w:val="22"/>
              </w:rPr>
              <w:t>За наявності обліку споживання електроенергії за періодами часу розрахунки здійснюються за тарифами, диференційованими за зонами доби, за окремо поданою заявою споживача за фіксованою ціною, затвердженою Постановою Кабінету Міністрів України від 5 червня 2019 року № 483 «Про затвердження Положення про покладення спеціальних обов</w:t>
            </w:r>
            <w:r w:rsidR="00F75E81" w:rsidRPr="00D1202E">
              <w:rPr>
                <w:rFonts w:ascii="Calibri" w:hAnsi="Calibri" w:cs="Calibri"/>
                <w:sz w:val="22"/>
                <w:szCs w:val="22"/>
              </w:rPr>
              <w:t>'</w:t>
            </w:r>
            <w:r w:rsidR="00F75E81" w:rsidRPr="00D1202E">
              <w:rPr>
                <w:sz w:val="22"/>
                <w:szCs w:val="22"/>
              </w:rPr>
              <w:t>язків на учасників ринку електричної енергії для забезпечення загальносуспільних інтересів у процесі функціонування ринку електричної енергії» (в редакції постанови Кабінету Міні</w:t>
            </w:r>
            <w:r w:rsidR="00F75E81">
              <w:rPr>
                <w:sz w:val="22"/>
                <w:szCs w:val="22"/>
              </w:rPr>
              <w:t xml:space="preserve">стрів України від </w:t>
            </w:r>
            <w:r w:rsidR="00F75E81" w:rsidRPr="00F82441">
              <w:rPr>
                <w:sz w:val="22"/>
                <w:szCs w:val="22"/>
              </w:rPr>
              <w:t>29 квітня 2025 року № 480</w:t>
            </w:r>
            <w:r w:rsidR="00F75E81" w:rsidRPr="00197F08">
              <w:rPr>
                <w:sz w:val="22"/>
                <w:szCs w:val="22"/>
              </w:rPr>
              <w:t>), в межах соціальних норм згідно Постанови Кабінету Міністрів України № 409 від 06.08.2014 Про встановлення державних соціальних стандартів у сфері житлово-комунального обслуговування постачання електричної енергії, із застосуванням таких коефіцієнтів:</w:t>
            </w:r>
          </w:p>
          <w:p w:rsidR="00F75E81" w:rsidRPr="00D1202E" w:rsidRDefault="00F75E81" w:rsidP="00F75E81">
            <w:pPr>
              <w:jc w:val="both"/>
              <w:rPr>
                <w:sz w:val="22"/>
                <w:szCs w:val="22"/>
              </w:rPr>
            </w:pPr>
          </w:p>
          <w:p w:rsidR="00F75E81" w:rsidRPr="00202BDC" w:rsidRDefault="00F75E81" w:rsidP="00F75E81">
            <w:pPr>
              <w:jc w:val="both"/>
              <w:rPr>
                <w:sz w:val="22"/>
                <w:szCs w:val="22"/>
                <w:lang w:val="ru-RU"/>
              </w:rPr>
            </w:pPr>
            <w:r w:rsidRPr="00D1202E">
              <w:rPr>
                <w:sz w:val="22"/>
                <w:szCs w:val="22"/>
                <w:lang w:val="ru-RU"/>
              </w:rPr>
              <w:t xml:space="preserve">1) </w:t>
            </w:r>
            <w:r w:rsidRPr="00202BDC">
              <w:rPr>
                <w:sz w:val="22"/>
                <w:szCs w:val="22"/>
                <w:lang w:val="ru-RU"/>
              </w:rPr>
              <w:t xml:space="preserve">за </w:t>
            </w:r>
            <w:proofErr w:type="spellStart"/>
            <w:r w:rsidRPr="00202BDC">
              <w:rPr>
                <w:sz w:val="22"/>
                <w:szCs w:val="22"/>
                <w:lang w:val="ru-RU"/>
              </w:rPr>
              <w:t>двозонним</w:t>
            </w:r>
            <w:proofErr w:type="spellEnd"/>
            <w:r w:rsidRPr="00202BDC">
              <w:rPr>
                <w:sz w:val="22"/>
                <w:szCs w:val="22"/>
                <w:lang w:val="ru-RU"/>
              </w:rPr>
              <w:t xml:space="preserve"> </w:t>
            </w:r>
            <w:proofErr w:type="spellStart"/>
            <w:r w:rsidRPr="00202BDC">
              <w:rPr>
                <w:sz w:val="22"/>
                <w:szCs w:val="22"/>
                <w:lang w:val="ru-RU"/>
              </w:rPr>
              <w:t>диференціюванням</w:t>
            </w:r>
            <w:proofErr w:type="spellEnd"/>
            <w:r w:rsidRPr="00202BDC">
              <w:rPr>
                <w:sz w:val="22"/>
                <w:szCs w:val="22"/>
                <w:lang w:val="ru-RU"/>
              </w:rPr>
              <w:t xml:space="preserve"> за </w:t>
            </w:r>
            <w:proofErr w:type="spellStart"/>
            <w:r w:rsidRPr="00202BDC">
              <w:rPr>
                <w:sz w:val="22"/>
                <w:szCs w:val="22"/>
                <w:lang w:val="ru-RU"/>
              </w:rPr>
              <w:t>періодами</w:t>
            </w:r>
            <w:proofErr w:type="spellEnd"/>
            <w:r w:rsidRPr="00202BDC">
              <w:rPr>
                <w:sz w:val="22"/>
                <w:szCs w:val="22"/>
                <w:lang w:val="ru-RU"/>
              </w:rPr>
              <w:t xml:space="preserve"> часу:</w:t>
            </w:r>
          </w:p>
          <w:p w:rsidR="00F75E81" w:rsidRPr="00202BDC" w:rsidRDefault="00F75E81" w:rsidP="00F75E81">
            <w:pPr>
              <w:jc w:val="both"/>
              <w:rPr>
                <w:sz w:val="22"/>
                <w:szCs w:val="22"/>
                <w:lang w:val="ru-RU"/>
              </w:rPr>
            </w:pPr>
            <w:r w:rsidRPr="00202BDC">
              <w:rPr>
                <w:sz w:val="22"/>
                <w:szCs w:val="22"/>
                <w:lang w:val="ru-RU"/>
              </w:rPr>
              <w:t xml:space="preserve">   -  0,5 тарифу в </w:t>
            </w:r>
            <w:proofErr w:type="spellStart"/>
            <w:r w:rsidRPr="00202BDC">
              <w:rPr>
                <w:sz w:val="22"/>
                <w:szCs w:val="22"/>
                <w:lang w:val="ru-RU"/>
              </w:rPr>
              <w:t>години</w:t>
            </w:r>
            <w:proofErr w:type="spellEnd"/>
            <w:r w:rsidRPr="00202BDC">
              <w:rPr>
                <w:sz w:val="22"/>
                <w:szCs w:val="22"/>
                <w:lang w:val="ru-RU"/>
              </w:rPr>
              <w:t xml:space="preserve"> </w:t>
            </w:r>
            <w:proofErr w:type="spellStart"/>
            <w:r w:rsidRPr="00202BDC">
              <w:rPr>
                <w:sz w:val="22"/>
                <w:szCs w:val="22"/>
                <w:lang w:val="ru-RU"/>
              </w:rPr>
              <w:t>нічного</w:t>
            </w:r>
            <w:proofErr w:type="spellEnd"/>
            <w:r w:rsidRPr="00202BDC">
              <w:rPr>
                <w:sz w:val="22"/>
                <w:szCs w:val="22"/>
                <w:lang w:val="ru-RU"/>
              </w:rPr>
              <w:t xml:space="preserve"> </w:t>
            </w:r>
            <w:proofErr w:type="spellStart"/>
            <w:r w:rsidRPr="00202BDC">
              <w:rPr>
                <w:sz w:val="22"/>
                <w:szCs w:val="22"/>
                <w:lang w:val="ru-RU"/>
              </w:rPr>
              <w:t>мінімального</w:t>
            </w:r>
            <w:proofErr w:type="spellEnd"/>
            <w:r w:rsidRPr="00202BDC">
              <w:rPr>
                <w:sz w:val="22"/>
                <w:szCs w:val="22"/>
                <w:lang w:val="ru-RU"/>
              </w:rPr>
              <w:t xml:space="preserve"> </w:t>
            </w:r>
            <w:proofErr w:type="spellStart"/>
            <w:r w:rsidRPr="00202BDC">
              <w:rPr>
                <w:sz w:val="22"/>
                <w:szCs w:val="22"/>
                <w:lang w:val="ru-RU"/>
              </w:rPr>
              <w:t>навантаження</w:t>
            </w:r>
            <w:proofErr w:type="spellEnd"/>
            <w:r w:rsidRPr="00202BDC">
              <w:rPr>
                <w:sz w:val="22"/>
                <w:szCs w:val="22"/>
                <w:lang w:val="ru-RU"/>
              </w:rPr>
              <w:t xml:space="preserve"> </w:t>
            </w:r>
            <w:proofErr w:type="spellStart"/>
            <w:r w:rsidRPr="00202BDC">
              <w:rPr>
                <w:sz w:val="22"/>
                <w:szCs w:val="22"/>
                <w:lang w:val="ru-RU"/>
              </w:rPr>
              <w:t>енергосистеми</w:t>
            </w:r>
            <w:proofErr w:type="spellEnd"/>
            <w:r w:rsidRPr="00202BDC">
              <w:rPr>
                <w:sz w:val="22"/>
                <w:szCs w:val="22"/>
                <w:lang w:val="ru-RU"/>
              </w:rPr>
              <w:t xml:space="preserve"> (з 23-ї </w:t>
            </w:r>
            <w:proofErr w:type="spellStart"/>
            <w:r w:rsidRPr="00202BDC">
              <w:rPr>
                <w:sz w:val="22"/>
                <w:szCs w:val="22"/>
                <w:lang w:val="ru-RU"/>
              </w:rPr>
              <w:t>години</w:t>
            </w:r>
            <w:proofErr w:type="spellEnd"/>
            <w:r w:rsidRPr="00202BDC">
              <w:rPr>
                <w:sz w:val="22"/>
                <w:szCs w:val="22"/>
                <w:lang w:val="ru-RU"/>
              </w:rPr>
              <w:t xml:space="preserve"> до 7-ї </w:t>
            </w:r>
            <w:proofErr w:type="spellStart"/>
            <w:r w:rsidRPr="00202BDC">
              <w:rPr>
                <w:sz w:val="22"/>
                <w:szCs w:val="22"/>
                <w:lang w:val="ru-RU"/>
              </w:rPr>
              <w:t>години</w:t>
            </w:r>
            <w:proofErr w:type="spellEnd"/>
            <w:r w:rsidRPr="00202BDC">
              <w:rPr>
                <w:sz w:val="22"/>
                <w:szCs w:val="22"/>
                <w:lang w:val="ru-RU"/>
              </w:rPr>
              <w:t>);</w:t>
            </w:r>
          </w:p>
          <w:p w:rsidR="00F75E81" w:rsidRDefault="00F75E81" w:rsidP="00F75E81">
            <w:pPr>
              <w:jc w:val="both"/>
              <w:rPr>
                <w:sz w:val="22"/>
                <w:szCs w:val="22"/>
                <w:lang w:val="ru-RU"/>
              </w:rPr>
            </w:pPr>
            <w:r w:rsidRPr="00202BDC">
              <w:rPr>
                <w:sz w:val="22"/>
                <w:szCs w:val="22"/>
                <w:lang w:val="ru-RU"/>
              </w:rPr>
              <w:t xml:space="preserve">-  </w:t>
            </w:r>
            <w:proofErr w:type="spellStart"/>
            <w:r w:rsidRPr="00202BDC">
              <w:rPr>
                <w:sz w:val="22"/>
                <w:szCs w:val="22"/>
                <w:lang w:val="ru-RU"/>
              </w:rPr>
              <w:t>повний</w:t>
            </w:r>
            <w:proofErr w:type="spellEnd"/>
            <w:r w:rsidRPr="00202BDC">
              <w:rPr>
                <w:sz w:val="22"/>
                <w:szCs w:val="22"/>
                <w:lang w:val="ru-RU"/>
              </w:rPr>
              <w:t xml:space="preserve"> тариф у </w:t>
            </w:r>
            <w:proofErr w:type="spellStart"/>
            <w:r w:rsidRPr="00202BDC">
              <w:rPr>
                <w:sz w:val="22"/>
                <w:szCs w:val="22"/>
                <w:lang w:val="ru-RU"/>
              </w:rPr>
              <w:t>інші</w:t>
            </w:r>
            <w:proofErr w:type="spellEnd"/>
            <w:r w:rsidRPr="00202BDC">
              <w:rPr>
                <w:sz w:val="22"/>
                <w:szCs w:val="22"/>
                <w:lang w:val="ru-RU"/>
              </w:rPr>
              <w:t xml:space="preserve"> </w:t>
            </w:r>
            <w:proofErr w:type="spellStart"/>
            <w:r w:rsidRPr="00202BDC">
              <w:rPr>
                <w:sz w:val="22"/>
                <w:szCs w:val="22"/>
                <w:lang w:val="ru-RU"/>
              </w:rPr>
              <w:t>години</w:t>
            </w:r>
            <w:proofErr w:type="spellEnd"/>
            <w:r w:rsidRPr="00202BDC">
              <w:rPr>
                <w:sz w:val="22"/>
                <w:szCs w:val="22"/>
                <w:lang w:val="ru-RU"/>
              </w:rPr>
              <w:t xml:space="preserve"> </w:t>
            </w:r>
            <w:proofErr w:type="spellStart"/>
            <w:r w:rsidRPr="00202BDC">
              <w:rPr>
                <w:sz w:val="22"/>
                <w:szCs w:val="22"/>
                <w:lang w:val="ru-RU"/>
              </w:rPr>
              <w:t>доби</w:t>
            </w:r>
            <w:proofErr w:type="spellEnd"/>
            <w:r w:rsidRPr="00202BDC">
              <w:rPr>
                <w:sz w:val="22"/>
                <w:szCs w:val="22"/>
                <w:lang w:val="ru-RU"/>
              </w:rPr>
              <w:t xml:space="preserve"> (з 7-ї </w:t>
            </w:r>
            <w:proofErr w:type="spellStart"/>
            <w:r w:rsidRPr="00202BDC">
              <w:rPr>
                <w:sz w:val="22"/>
                <w:szCs w:val="22"/>
                <w:lang w:val="ru-RU"/>
              </w:rPr>
              <w:t>години</w:t>
            </w:r>
            <w:proofErr w:type="spellEnd"/>
            <w:r w:rsidRPr="00202BDC">
              <w:rPr>
                <w:sz w:val="22"/>
                <w:szCs w:val="22"/>
                <w:lang w:val="ru-RU"/>
              </w:rPr>
              <w:t xml:space="preserve"> до 23-ї).</w:t>
            </w:r>
          </w:p>
          <w:p w:rsidR="00F75E81" w:rsidRDefault="00F75E81" w:rsidP="00F75E81">
            <w:pPr>
              <w:jc w:val="both"/>
              <w:rPr>
                <w:sz w:val="22"/>
                <w:szCs w:val="22"/>
                <w:lang w:val="ru-RU"/>
              </w:rPr>
            </w:pPr>
          </w:p>
          <w:p w:rsidR="00F75E81" w:rsidRPr="007C7289" w:rsidRDefault="00F75E81" w:rsidP="00F75E81">
            <w:pPr>
              <w:jc w:val="both"/>
              <w:rPr>
                <w:bCs/>
                <w:sz w:val="22"/>
                <w:szCs w:val="22"/>
              </w:rPr>
            </w:pPr>
            <w:r>
              <w:rPr>
                <w:bCs/>
                <w:sz w:val="22"/>
                <w:szCs w:val="22"/>
              </w:rPr>
              <w:t>З 01 червня 2024</w:t>
            </w:r>
            <w:r w:rsidRPr="007C7289">
              <w:rPr>
                <w:bCs/>
                <w:sz w:val="22"/>
                <w:szCs w:val="22"/>
              </w:rPr>
              <w:t xml:space="preserve"> року до </w:t>
            </w:r>
            <w:r w:rsidRPr="00F82441">
              <w:rPr>
                <w:bCs/>
                <w:sz w:val="22"/>
                <w:szCs w:val="22"/>
              </w:rPr>
              <w:t>3</w:t>
            </w:r>
            <w:r w:rsidR="001E5209">
              <w:rPr>
                <w:bCs/>
                <w:sz w:val="22"/>
                <w:szCs w:val="22"/>
              </w:rPr>
              <w:t>0</w:t>
            </w:r>
            <w:r w:rsidRPr="00F82441">
              <w:rPr>
                <w:bCs/>
                <w:sz w:val="22"/>
                <w:szCs w:val="22"/>
              </w:rPr>
              <w:t xml:space="preserve"> </w:t>
            </w:r>
            <w:r w:rsidR="001E5209">
              <w:rPr>
                <w:bCs/>
                <w:sz w:val="22"/>
                <w:szCs w:val="22"/>
              </w:rPr>
              <w:t>к</w:t>
            </w:r>
            <w:r w:rsidRPr="00F82441">
              <w:rPr>
                <w:bCs/>
                <w:sz w:val="22"/>
                <w:szCs w:val="22"/>
              </w:rPr>
              <w:t>в</w:t>
            </w:r>
            <w:r w:rsidR="001E5209">
              <w:rPr>
                <w:bCs/>
                <w:sz w:val="22"/>
                <w:szCs w:val="22"/>
              </w:rPr>
              <w:t>і</w:t>
            </w:r>
            <w:r w:rsidRPr="00F82441">
              <w:rPr>
                <w:bCs/>
                <w:sz w:val="22"/>
                <w:szCs w:val="22"/>
              </w:rPr>
              <w:t xml:space="preserve">тня  </w:t>
            </w:r>
            <w:r w:rsidRPr="007C7289">
              <w:rPr>
                <w:bCs/>
                <w:sz w:val="22"/>
                <w:szCs w:val="22"/>
              </w:rPr>
              <w:t>202</w:t>
            </w:r>
            <w:r w:rsidR="001E5209">
              <w:rPr>
                <w:bCs/>
                <w:sz w:val="22"/>
                <w:szCs w:val="22"/>
              </w:rPr>
              <w:t>6</w:t>
            </w:r>
            <w:r w:rsidRPr="007C7289">
              <w:rPr>
                <w:bCs/>
                <w:sz w:val="22"/>
                <w:szCs w:val="22"/>
              </w:rPr>
              <w:t xml:space="preserve"> року включно фіксована ціна на електричну енергію для побутових споживачів становить:</w:t>
            </w:r>
          </w:p>
          <w:p w:rsidR="00F75E81" w:rsidRDefault="00F75E81" w:rsidP="00F75E81">
            <w:pPr>
              <w:jc w:val="both"/>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83"/>
              <w:gridCol w:w="1186"/>
              <w:gridCol w:w="1278"/>
              <w:gridCol w:w="1250"/>
            </w:tblGrid>
            <w:tr w:rsidR="00F75E81" w:rsidRPr="00125F7A" w:rsidTr="00163EC4">
              <w:tc>
                <w:tcPr>
                  <w:tcW w:w="2188" w:type="dxa"/>
                  <w:vMerge w:val="restart"/>
                  <w:hideMark/>
                </w:tcPr>
                <w:p w:rsidR="00F75E81" w:rsidRPr="00125F7A" w:rsidRDefault="00F75E81" w:rsidP="00F75E81">
                  <w:pPr>
                    <w:spacing w:before="150" w:after="150"/>
                    <w:jc w:val="center"/>
                    <w:rPr>
                      <w:sz w:val="22"/>
                      <w:szCs w:val="22"/>
                    </w:rPr>
                  </w:pPr>
                  <w:r>
                    <w:rPr>
                      <w:sz w:val="22"/>
                      <w:szCs w:val="22"/>
                    </w:rPr>
                    <w:lastRenderedPageBreak/>
                    <w:t>Споживач</w:t>
                  </w:r>
                </w:p>
              </w:tc>
              <w:tc>
                <w:tcPr>
                  <w:tcW w:w="3147" w:type="dxa"/>
                  <w:gridSpan w:val="3"/>
                  <w:hideMark/>
                </w:tcPr>
                <w:p w:rsidR="00F75E81" w:rsidRPr="00125F7A" w:rsidRDefault="00F75E81" w:rsidP="00F75E81">
                  <w:pPr>
                    <w:spacing w:before="150" w:after="150"/>
                    <w:jc w:val="center"/>
                    <w:rPr>
                      <w:sz w:val="22"/>
                      <w:szCs w:val="22"/>
                    </w:rPr>
                  </w:pPr>
                  <w:r w:rsidRPr="00E952D4">
                    <w:rPr>
                      <w:sz w:val="22"/>
                      <w:szCs w:val="22"/>
                    </w:rPr>
                    <w:t xml:space="preserve">Фіксована ціна на електричну енергію в гривнях за 1 </w:t>
                  </w:r>
                  <w:proofErr w:type="spellStart"/>
                  <w:r w:rsidRPr="00E952D4">
                    <w:rPr>
                      <w:sz w:val="22"/>
                      <w:szCs w:val="22"/>
                    </w:rPr>
                    <w:t>кВт·год</w:t>
                  </w:r>
                  <w:proofErr w:type="spellEnd"/>
                  <w:r w:rsidRPr="00E952D4">
                    <w:rPr>
                      <w:sz w:val="22"/>
                      <w:szCs w:val="22"/>
                    </w:rPr>
                    <w:t xml:space="preserve"> залежно від місячного обсягу споживання</w:t>
                  </w:r>
                </w:p>
              </w:tc>
            </w:tr>
            <w:tr w:rsidR="00F75E81" w:rsidRPr="00125F7A" w:rsidTr="00163EC4">
              <w:tc>
                <w:tcPr>
                  <w:tcW w:w="0" w:type="auto"/>
                  <w:vMerge/>
                  <w:hideMark/>
                </w:tcPr>
                <w:p w:rsidR="00F75E81" w:rsidRPr="00125F7A" w:rsidRDefault="00F75E81" w:rsidP="00F75E81">
                  <w:pPr>
                    <w:rPr>
                      <w:sz w:val="22"/>
                      <w:szCs w:val="22"/>
                    </w:rPr>
                  </w:pPr>
                </w:p>
              </w:tc>
              <w:tc>
                <w:tcPr>
                  <w:tcW w:w="1005" w:type="dxa"/>
                  <w:hideMark/>
                </w:tcPr>
                <w:p w:rsidR="00F75E81" w:rsidRPr="00125F7A" w:rsidRDefault="00F75E81" w:rsidP="00F75E81">
                  <w:pPr>
                    <w:spacing w:before="150" w:after="150"/>
                    <w:jc w:val="center"/>
                    <w:rPr>
                      <w:sz w:val="22"/>
                      <w:szCs w:val="22"/>
                    </w:rPr>
                  </w:pPr>
                  <w:r w:rsidRPr="00125F7A">
                    <w:rPr>
                      <w:sz w:val="22"/>
                      <w:szCs w:val="22"/>
                    </w:rPr>
                    <w:t>без податку на додану вартість</w:t>
                  </w:r>
                </w:p>
              </w:tc>
              <w:tc>
                <w:tcPr>
                  <w:tcW w:w="1083" w:type="dxa"/>
                  <w:hideMark/>
                </w:tcPr>
                <w:p w:rsidR="00F75E81" w:rsidRPr="00125F7A" w:rsidRDefault="00F75E81" w:rsidP="00F75E81">
                  <w:pPr>
                    <w:spacing w:before="150" w:after="150"/>
                    <w:jc w:val="center"/>
                    <w:rPr>
                      <w:sz w:val="22"/>
                      <w:szCs w:val="22"/>
                    </w:rPr>
                  </w:pPr>
                  <w:r w:rsidRPr="00125F7A">
                    <w:rPr>
                      <w:sz w:val="22"/>
                      <w:szCs w:val="22"/>
                    </w:rPr>
                    <w:t>податок на додану вартість</w:t>
                  </w:r>
                </w:p>
              </w:tc>
              <w:tc>
                <w:tcPr>
                  <w:tcW w:w="1059" w:type="dxa"/>
                  <w:hideMark/>
                </w:tcPr>
                <w:p w:rsidR="00F75E81" w:rsidRPr="00125F7A" w:rsidRDefault="00F75E81" w:rsidP="00F75E81">
                  <w:pPr>
                    <w:spacing w:before="150" w:after="150"/>
                    <w:jc w:val="center"/>
                    <w:rPr>
                      <w:sz w:val="22"/>
                      <w:szCs w:val="22"/>
                    </w:rPr>
                  </w:pPr>
                  <w:r w:rsidRPr="00125F7A">
                    <w:rPr>
                      <w:sz w:val="22"/>
                      <w:szCs w:val="22"/>
                    </w:rPr>
                    <w:t>з податком на додану вартість</w:t>
                  </w:r>
                </w:p>
              </w:tc>
            </w:tr>
            <w:tr w:rsidR="00F75E81" w:rsidRPr="00125F7A" w:rsidTr="00163EC4">
              <w:tc>
                <w:tcPr>
                  <w:tcW w:w="2188" w:type="dxa"/>
                  <w:hideMark/>
                </w:tcPr>
                <w:p w:rsidR="00F75E81" w:rsidRPr="001368A7" w:rsidRDefault="00F75E81" w:rsidP="00F75E81">
                  <w:pPr>
                    <w:spacing w:before="150" w:after="150"/>
                    <w:rPr>
                      <w:sz w:val="22"/>
                      <w:szCs w:val="22"/>
                    </w:rPr>
                  </w:pPr>
                  <w:r>
                    <w:rPr>
                      <w:sz w:val="22"/>
                      <w:szCs w:val="22"/>
                    </w:rPr>
                    <w:t xml:space="preserve">Індивідуальні та колективні побутові споживачі (зокрема гуртожитки), а також споживачі (цілі споживання), які визначені в абзацах одинадцятому-чотирнадцятому пункту 13 розділу </w:t>
                  </w:r>
                  <w:r>
                    <w:rPr>
                      <w:sz w:val="22"/>
                      <w:szCs w:val="22"/>
                      <w:lang w:val="en-US"/>
                    </w:rPr>
                    <w:t>XVII</w:t>
                  </w:r>
                  <w:r>
                    <w:rPr>
                      <w:sz w:val="22"/>
                      <w:szCs w:val="22"/>
                    </w:rPr>
                    <w:t xml:space="preserve"> «Прикінцеві та перехідні положення» Закону України «Про ринок електричної енергії»</w:t>
                  </w:r>
                </w:p>
              </w:tc>
              <w:tc>
                <w:tcPr>
                  <w:tcW w:w="1005" w:type="dxa"/>
                  <w:hideMark/>
                </w:tcPr>
                <w:p w:rsidR="00F75E81" w:rsidRPr="00125F7A" w:rsidRDefault="00F75E81" w:rsidP="00F75E81">
                  <w:pPr>
                    <w:spacing w:before="150" w:after="150"/>
                    <w:jc w:val="center"/>
                    <w:rPr>
                      <w:sz w:val="22"/>
                      <w:szCs w:val="22"/>
                    </w:rPr>
                  </w:pPr>
                  <w:r>
                    <w:rPr>
                      <w:sz w:val="22"/>
                      <w:szCs w:val="22"/>
                    </w:rPr>
                    <w:t>3,6</w:t>
                  </w:r>
                </w:p>
              </w:tc>
              <w:tc>
                <w:tcPr>
                  <w:tcW w:w="1083" w:type="dxa"/>
                  <w:hideMark/>
                </w:tcPr>
                <w:p w:rsidR="00F75E81" w:rsidRPr="00125F7A" w:rsidRDefault="00F75E81" w:rsidP="00F75E81">
                  <w:pPr>
                    <w:spacing w:before="150" w:after="150"/>
                    <w:jc w:val="center"/>
                    <w:rPr>
                      <w:sz w:val="22"/>
                      <w:szCs w:val="22"/>
                    </w:rPr>
                  </w:pPr>
                  <w:r w:rsidRPr="00125F7A">
                    <w:rPr>
                      <w:sz w:val="22"/>
                      <w:szCs w:val="22"/>
                    </w:rPr>
                    <w:t>0</w:t>
                  </w:r>
                  <w:r>
                    <w:rPr>
                      <w:sz w:val="22"/>
                      <w:szCs w:val="22"/>
                    </w:rPr>
                    <w:t>,72</w:t>
                  </w:r>
                </w:p>
              </w:tc>
              <w:tc>
                <w:tcPr>
                  <w:tcW w:w="1059" w:type="dxa"/>
                  <w:hideMark/>
                </w:tcPr>
                <w:p w:rsidR="00F75E81" w:rsidRPr="00125F7A" w:rsidRDefault="00F75E81" w:rsidP="00F75E81">
                  <w:pPr>
                    <w:spacing w:before="150" w:after="150"/>
                    <w:jc w:val="center"/>
                    <w:rPr>
                      <w:sz w:val="22"/>
                      <w:szCs w:val="22"/>
                    </w:rPr>
                  </w:pPr>
                  <w:r>
                    <w:rPr>
                      <w:sz w:val="22"/>
                      <w:szCs w:val="22"/>
                    </w:rPr>
                    <w:t>4,32</w:t>
                  </w:r>
                </w:p>
              </w:tc>
            </w:tr>
          </w:tbl>
          <w:p w:rsidR="00374BE3" w:rsidRPr="00D33053" w:rsidRDefault="00374BE3" w:rsidP="00374BE3">
            <w:pPr>
              <w:jc w:val="both"/>
              <w:rPr>
                <w:sz w:val="22"/>
                <w:szCs w:val="22"/>
              </w:rPr>
            </w:pPr>
          </w:p>
          <w:p w:rsidR="00374BE3" w:rsidRPr="00D33053" w:rsidRDefault="00374BE3" w:rsidP="00374BE3">
            <w:pPr>
              <w:jc w:val="both"/>
              <w:rPr>
                <w:b/>
                <w:sz w:val="22"/>
                <w:szCs w:val="22"/>
              </w:rPr>
            </w:pPr>
            <w:r w:rsidRPr="00D33053">
              <w:rPr>
                <w:b/>
                <w:sz w:val="22"/>
                <w:szCs w:val="22"/>
              </w:rPr>
              <w:t>Для непобутових потреб:</w:t>
            </w:r>
          </w:p>
          <w:p w:rsidR="00374BE3" w:rsidRDefault="00374BE3" w:rsidP="00374BE3">
            <w:pPr>
              <w:jc w:val="both"/>
              <w:rPr>
                <w:sz w:val="22"/>
                <w:szCs w:val="22"/>
              </w:rPr>
            </w:pPr>
            <w:r w:rsidRPr="00D33053">
              <w:rPr>
                <w:sz w:val="22"/>
                <w:szCs w:val="22"/>
              </w:rPr>
              <w:t>постачання електричної енергії здійснюється за регульованими цінами (тарифами) на електроенергію, що визначаються відповідно до методики (порядку), затвердженої Регулятором, та  включають, в тому числі, витрати на розподіл електричної енергії.</w:t>
            </w:r>
          </w:p>
          <w:p w:rsidR="00D33053" w:rsidRDefault="00D33053" w:rsidP="00374BE3">
            <w:pPr>
              <w:jc w:val="both"/>
              <w:rPr>
                <w:sz w:val="22"/>
                <w:szCs w:val="22"/>
              </w:rPr>
            </w:pPr>
          </w:p>
          <w:p w:rsidR="00D33053" w:rsidRPr="00D33053" w:rsidRDefault="00D33053" w:rsidP="00374BE3">
            <w:pPr>
              <w:jc w:val="both"/>
              <w:rPr>
                <w:sz w:val="22"/>
                <w:szCs w:val="22"/>
              </w:rPr>
            </w:pPr>
          </w:p>
          <w:p w:rsidR="001E5209" w:rsidRPr="001E5209" w:rsidRDefault="00313DDD" w:rsidP="001E5209">
            <w:pPr>
              <w:jc w:val="both"/>
              <w:rPr>
                <w:b/>
                <w:sz w:val="22"/>
                <w:szCs w:val="22"/>
              </w:rPr>
            </w:pPr>
            <w:r w:rsidRPr="00D33053">
              <w:rPr>
                <w:b/>
                <w:sz w:val="22"/>
                <w:szCs w:val="22"/>
              </w:rPr>
              <w:t xml:space="preserve">Ціна </w:t>
            </w:r>
            <w:r w:rsidRPr="00D33053">
              <w:rPr>
                <w:sz w:val="22"/>
                <w:szCs w:val="22"/>
              </w:rPr>
              <w:t>на універсальні послуги для малих непобутових споживачів,</w:t>
            </w:r>
            <w:r w:rsidRPr="00D33053">
              <w:rPr>
                <w:b/>
                <w:sz w:val="22"/>
                <w:szCs w:val="22"/>
              </w:rPr>
              <w:t xml:space="preserve"> електроустановки яких приєднані до мереж ТОВ "ЛУГАНСЬКЕ ЕНЕРГЕТИЧНЕ ОБ’ЄДНАННЯ" </w:t>
            </w:r>
            <w:r w:rsidRPr="00D33053">
              <w:rPr>
                <w:sz w:val="22"/>
                <w:szCs w:val="22"/>
              </w:rPr>
              <w:t>згідно з класом напруги</w:t>
            </w:r>
            <w:r w:rsidRPr="00CC49B2">
              <w:rPr>
                <w:sz w:val="22"/>
                <w:szCs w:val="22"/>
              </w:rPr>
              <w:t xml:space="preserve">, </w:t>
            </w:r>
            <w:r w:rsidR="001E5209" w:rsidRPr="001E5209">
              <w:rPr>
                <w:b/>
                <w:sz w:val="22"/>
                <w:szCs w:val="22"/>
              </w:rPr>
              <w:t xml:space="preserve">на грудень 2025 року становить: </w:t>
            </w:r>
          </w:p>
          <w:p w:rsidR="001E5209" w:rsidRPr="001E5209" w:rsidRDefault="001E5209" w:rsidP="001E5209">
            <w:pPr>
              <w:jc w:val="both"/>
              <w:rPr>
                <w:b/>
                <w:sz w:val="22"/>
                <w:szCs w:val="22"/>
              </w:rPr>
            </w:pPr>
            <w:r w:rsidRPr="001E5209">
              <w:rPr>
                <w:b/>
                <w:sz w:val="22"/>
                <w:szCs w:val="22"/>
              </w:rPr>
              <w:t xml:space="preserve">І клас –8,52379грн/кВт*год (без ПДВ), </w:t>
            </w:r>
          </w:p>
          <w:p w:rsidR="001E5209" w:rsidRPr="001E5209" w:rsidRDefault="001E5209" w:rsidP="001E5209">
            <w:pPr>
              <w:jc w:val="both"/>
              <w:rPr>
                <w:b/>
                <w:sz w:val="22"/>
                <w:szCs w:val="22"/>
              </w:rPr>
            </w:pPr>
            <w:r w:rsidRPr="001E5209">
              <w:rPr>
                <w:b/>
                <w:sz w:val="22"/>
                <w:szCs w:val="22"/>
              </w:rPr>
              <w:t xml:space="preserve">ІІ клас -10,10803 грн/кВт*год (без ПДВ). </w:t>
            </w:r>
          </w:p>
          <w:p w:rsidR="001E5209" w:rsidRPr="001E5209" w:rsidRDefault="001E5209" w:rsidP="001E5209">
            <w:pPr>
              <w:jc w:val="both"/>
              <w:rPr>
                <w:b/>
                <w:sz w:val="22"/>
                <w:szCs w:val="22"/>
              </w:rPr>
            </w:pPr>
          </w:p>
          <w:p w:rsidR="001E5209" w:rsidRPr="001E5209" w:rsidRDefault="001E5209" w:rsidP="001E5209">
            <w:pPr>
              <w:jc w:val="both"/>
              <w:rPr>
                <w:b/>
                <w:sz w:val="22"/>
                <w:szCs w:val="22"/>
              </w:rPr>
            </w:pPr>
            <w:r w:rsidRPr="001E5209">
              <w:rPr>
                <w:b/>
                <w:sz w:val="22"/>
                <w:szCs w:val="22"/>
              </w:rPr>
              <w:t xml:space="preserve">Ціна на універсальні послуги для малих непобутових споживачів, електроустановки, яких приєднані до мереж                                         АТ "Укрзалізниця" згідно з класом напруги, на грудень 2025 року становить: </w:t>
            </w:r>
          </w:p>
          <w:p w:rsidR="001E5209" w:rsidRPr="001E5209" w:rsidRDefault="001E5209" w:rsidP="001E5209">
            <w:pPr>
              <w:jc w:val="both"/>
              <w:rPr>
                <w:b/>
                <w:sz w:val="22"/>
                <w:szCs w:val="22"/>
              </w:rPr>
            </w:pPr>
            <w:r w:rsidRPr="001E5209">
              <w:rPr>
                <w:b/>
                <w:sz w:val="22"/>
                <w:szCs w:val="22"/>
              </w:rPr>
              <w:t xml:space="preserve">І клас – 8,39695 грн/кВт*год (без ПДВ), </w:t>
            </w:r>
          </w:p>
          <w:p w:rsidR="001E5209" w:rsidRPr="001E5209" w:rsidRDefault="001E5209" w:rsidP="001E5209">
            <w:pPr>
              <w:jc w:val="both"/>
              <w:rPr>
                <w:b/>
                <w:sz w:val="22"/>
                <w:szCs w:val="22"/>
              </w:rPr>
            </w:pPr>
            <w:r w:rsidRPr="001E5209">
              <w:rPr>
                <w:b/>
                <w:sz w:val="22"/>
                <w:szCs w:val="22"/>
              </w:rPr>
              <w:t>ІІ клас – 9,74976 грн/кВт*год (без ПДВ).</w:t>
            </w:r>
          </w:p>
          <w:p w:rsidR="001E5209" w:rsidRPr="001E5209" w:rsidRDefault="001E5209" w:rsidP="001E5209">
            <w:pPr>
              <w:jc w:val="both"/>
              <w:rPr>
                <w:b/>
                <w:sz w:val="22"/>
                <w:szCs w:val="22"/>
              </w:rPr>
            </w:pPr>
          </w:p>
          <w:p w:rsidR="001E5209" w:rsidRPr="001E5209" w:rsidRDefault="001E5209" w:rsidP="001E5209">
            <w:pPr>
              <w:jc w:val="both"/>
              <w:rPr>
                <w:b/>
                <w:sz w:val="22"/>
                <w:szCs w:val="22"/>
              </w:rPr>
            </w:pPr>
            <w:r w:rsidRPr="001E5209">
              <w:rPr>
                <w:b/>
                <w:sz w:val="22"/>
                <w:szCs w:val="22"/>
              </w:rPr>
              <w:t xml:space="preserve">Ціна на універсальні послуги для малих непобутових споживачів, електроустановки, яких приєднані до мереж ДП "РЕМ" згідно з класом напруги, на </w:t>
            </w:r>
            <w:r w:rsidR="004129F8">
              <w:rPr>
                <w:b/>
                <w:sz w:val="22"/>
                <w:szCs w:val="22"/>
              </w:rPr>
              <w:t>грудень</w:t>
            </w:r>
            <w:bookmarkStart w:id="0" w:name="_GoBack"/>
            <w:bookmarkEnd w:id="0"/>
            <w:r w:rsidRPr="001E5209">
              <w:rPr>
                <w:b/>
                <w:sz w:val="22"/>
                <w:szCs w:val="22"/>
              </w:rPr>
              <w:t xml:space="preserve"> 2025 року становить: </w:t>
            </w:r>
          </w:p>
          <w:p w:rsidR="001E5209" w:rsidRPr="001E5209" w:rsidRDefault="001E5209" w:rsidP="001E5209">
            <w:pPr>
              <w:jc w:val="both"/>
              <w:rPr>
                <w:b/>
                <w:sz w:val="22"/>
                <w:szCs w:val="22"/>
              </w:rPr>
            </w:pPr>
            <w:r w:rsidRPr="001E5209">
              <w:rPr>
                <w:b/>
                <w:sz w:val="22"/>
                <w:szCs w:val="22"/>
              </w:rPr>
              <w:t xml:space="preserve">І клас – 8,13568 грн/кВт*год (без ПДВ), </w:t>
            </w:r>
          </w:p>
          <w:p w:rsidR="009E4066" w:rsidRDefault="001E5209" w:rsidP="001E5209">
            <w:pPr>
              <w:jc w:val="both"/>
              <w:rPr>
                <w:b/>
                <w:sz w:val="22"/>
                <w:szCs w:val="22"/>
              </w:rPr>
            </w:pPr>
            <w:r w:rsidRPr="001E5209">
              <w:rPr>
                <w:b/>
                <w:sz w:val="22"/>
                <w:szCs w:val="22"/>
              </w:rPr>
              <w:t>ІІ клас – 8,83945 грн/кВт*год (без ПДВ).</w:t>
            </w:r>
          </w:p>
          <w:p w:rsidR="001E5209" w:rsidRDefault="001E5209" w:rsidP="001E5209">
            <w:pPr>
              <w:jc w:val="both"/>
              <w:rPr>
                <w:sz w:val="22"/>
                <w:szCs w:val="22"/>
              </w:rPr>
            </w:pPr>
          </w:p>
          <w:p w:rsidR="00374BE3" w:rsidRPr="00D33053" w:rsidRDefault="00374BE3" w:rsidP="00374BE3">
            <w:pPr>
              <w:jc w:val="both"/>
              <w:rPr>
                <w:sz w:val="22"/>
                <w:szCs w:val="22"/>
              </w:rPr>
            </w:pPr>
            <w:r w:rsidRPr="00D33053">
              <w:rPr>
                <w:sz w:val="22"/>
                <w:szCs w:val="22"/>
              </w:rPr>
              <w:t xml:space="preserve">Додаткова інформація щодо розмірів та порядку застосування тарифів розміщуються на офіційних сайтах відповідних органів державної влади, а також на офіційному сайті Постачальника: http://cn.enera.ua/ </w:t>
            </w:r>
          </w:p>
          <w:p w:rsidR="00374BE3" w:rsidRPr="00D33053" w:rsidRDefault="00374BE3" w:rsidP="00374BE3">
            <w:pPr>
              <w:jc w:val="both"/>
              <w:rPr>
                <w:sz w:val="22"/>
                <w:szCs w:val="22"/>
              </w:rPr>
            </w:pPr>
            <w:r w:rsidRPr="00D33053">
              <w:rPr>
                <w:sz w:val="22"/>
                <w:szCs w:val="22"/>
              </w:rPr>
              <w:t xml:space="preserve">Ціна згідно даної комерційної пропозиції змінюється відповідно до постанови Кабінету Міністрів України та згідно методики  </w:t>
            </w:r>
          </w:p>
          <w:p w:rsidR="00374BE3" w:rsidRPr="00D33053" w:rsidRDefault="00374BE3" w:rsidP="00374BE3">
            <w:pPr>
              <w:tabs>
                <w:tab w:val="left" w:pos="6247"/>
              </w:tabs>
              <w:jc w:val="both"/>
              <w:rPr>
                <w:sz w:val="22"/>
                <w:szCs w:val="22"/>
              </w:rPr>
            </w:pPr>
            <w:r w:rsidRPr="00D33053">
              <w:rPr>
                <w:sz w:val="22"/>
                <w:szCs w:val="22"/>
              </w:rPr>
              <w:t xml:space="preserve">(порядку) затвердженої Регулятором.  </w:t>
            </w:r>
          </w:p>
          <w:p w:rsidR="00A52D0C" w:rsidRPr="00D33053" w:rsidRDefault="00374BE3" w:rsidP="009F6B48">
            <w:pPr>
              <w:tabs>
                <w:tab w:val="left" w:pos="6247"/>
              </w:tabs>
              <w:jc w:val="both"/>
            </w:pPr>
            <w:r w:rsidRPr="00D33053">
              <w:rPr>
                <w:sz w:val="22"/>
                <w:szCs w:val="22"/>
              </w:rPr>
              <w:lastRenderedPageBreak/>
              <w:t>У відповідності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 дію.</w:t>
            </w:r>
          </w:p>
        </w:tc>
      </w:tr>
      <w:tr w:rsidR="003E45D0" w:rsidRPr="004B0214" w:rsidTr="00A904D6">
        <w:tc>
          <w:tcPr>
            <w:tcW w:w="3287" w:type="dxa"/>
            <w:shd w:val="clear" w:color="auto" w:fill="auto"/>
          </w:tcPr>
          <w:p w:rsidR="003E45D0" w:rsidRPr="0068637E" w:rsidRDefault="0068637E" w:rsidP="003E45D0">
            <w:pPr>
              <w:pStyle w:val="HTML"/>
              <w:rPr>
                <w:rFonts w:ascii="Times New Roman" w:eastAsia="Calibri" w:hAnsi="Times New Roman" w:cs="Times New Roman"/>
                <w:b/>
                <w:sz w:val="24"/>
                <w:szCs w:val="24"/>
                <w:lang w:val="uk-UA"/>
              </w:rPr>
            </w:pPr>
            <w:r w:rsidRPr="0068637E">
              <w:rPr>
                <w:rFonts w:ascii="Times New Roman" w:hAnsi="Times New Roman" w:cs="Times New Roman"/>
                <w:b/>
                <w:bCs/>
                <w:sz w:val="22"/>
                <w:szCs w:val="22"/>
                <w:lang w:val="uk-UA"/>
              </w:rPr>
              <w:lastRenderedPageBreak/>
              <w:t>Спосіб оплати послуг з розподілу та передачі електричної енергії</w:t>
            </w:r>
          </w:p>
        </w:tc>
        <w:tc>
          <w:tcPr>
            <w:tcW w:w="6523" w:type="dxa"/>
            <w:shd w:val="clear" w:color="auto" w:fill="auto"/>
          </w:tcPr>
          <w:p w:rsidR="003E45D0" w:rsidRDefault="0068637E" w:rsidP="003E45D0">
            <w:pPr>
              <w:ind w:right="34" w:firstLine="320"/>
              <w:jc w:val="both"/>
            </w:pPr>
            <w:r w:rsidRPr="00CF2771">
              <w:rPr>
                <w:color w:val="000000"/>
                <w:sz w:val="22"/>
                <w:szCs w:val="22"/>
              </w:rPr>
              <w:t>Вартість послуг з розподілу та передачі електричної енергії сплачуються Споживачем через Постачальника</w:t>
            </w:r>
            <w:r>
              <w:rPr>
                <w:color w:val="000000"/>
                <w:sz w:val="22"/>
                <w:szCs w:val="22"/>
              </w:rPr>
              <w:t xml:space="preserve"> </w:t>
            </w:r>
            <w:r w:rsidRPr="00B401B7">
              <w:rPr>
                <w:color w:val="000000"/>
                <w:sz w:val="22"/>
                <w:szCs w:val="22"/>
              </w:rPr>
              <w:t>з наступним переведенням цієї оплати оператору системи передачі та оператору системи розподілу</w:t>
            </w:r>
            <w:r w:rsidR="003E45D0">
              <w:t>.</w:t>
            </w:r>
          </w:p>
        </w:tc>
      </w:tr>
      <w:tr w:rsidR="003E45D0" w:rsidRPr="004B0214" w:rsidTr="00A904D6">
        <w:tc>
          <w:tcPr>
            <w:tcW w:w="3287" w:type="dxa"/>
            <w:shd w:val="clear" w:color="auto" w:fill="auto"/>
          </w:tcPr>
          <w:p w:rsidR="003E45D0" w:rsidRPr="00924204" w:rsidRDefault="003E45D0" w:rsidP="003E45D0">
            <w:pPr>
              <w:pStyle w:val="HTML"/>
              <w:jc w:val="both"/>
              <w:rPr>
                <w:rFonts w:ascii="Times New Roman" w:eastAsia="Calibri" w:hAnsi="Times New Roman" w:cs="Times New Roman"/>
                <w:b/>
                <w:sz w:val="24"/>
                <w:szCs w:val="24"/>
                <w:lang w:val="uk-UA"/>
              </w:rPr>
            </w:pPr>
            <w:r w:rsidRPr="00924204">
              <w:rPr>
                <w:rFonts w:ascii="Times New Roman" w:eastAsia="Calibri" w:hAnsi="Times New Roman" w:cs="Times New Roman"/>
                <w:b/>
                <w:sz w:val="24"/>
                <w:szCs w:val="24"/>
                <w:lang w:val="uk-UA"/>
              </w:rPr>
              <w:t xml:space="preserve">Спосіб оплати </w:t>
            </w:r>
          </w:p>
        </w:tc>
        <w:tc>
          <w:tcPr>
            <w:tcW w:w="6523" w:type="dxa"/>
            <w:shd w:val="clear" w:color="auto" w:fill="auto"/>
          </w:tcPr>
          <w:p w:rsidR="003E45D0" w:rsidRPr="004B0214" w:rsidRDefault="00B248BF" w:rsidP="005A162D">
            <w:pPr>
              <w:ind w:right="34" w:firstLine="320"/>
              <w:jc w:val="both"/>
            </w:pPr>
            <w:r w:rsidRPr="00B248BF">
              <w:t>Оплата електричної енергії здійснюється Споживачем за фактично відпущену електричну енергію згідно з даними комерційного обліку, на поточний рахунок зі спеціальним режимом використання Постачальника, зазначений у Договорі або розрахункових документах.</w:t>
            </w:r>
          </w:p>
        </w:tc>
      </w:tr>
      <w:tr w:rsidR="00376C2D" w:rsidRPr="004B0214" w:rsidTr="00A904D6">
        <w:tc>
          <w:tcPr>
            <w:tcW w:w="3287" w:type="dxa"/>
            <w:shd w:val="clear" w:color="auto" w:fill="auto"/>
          </w:tcPr>
          <w:p w:rsidR="00924204" w:rsidRPr="00566ECE" w:rsidRDefault="00924204" w:rsidP="00376C2D">
            <w:r w:rsidRPr="004045F1">
              <w:rPr>
                <w:b/>
                <w:bCs/>
                <w:sz w:val="22"/>
                <w:szCs w:val="22"/>
              </w:rPr>
              <w:t>Термін (строк)  виставлення рахунку за спожиту електричну енергію</w:t>
            </w:r>
            <w:r w:rsidRPr="004045F1">
              <w:rPr>
                <w:rFonts w:eastAsia="Calibri"/>
                <w:b/>
                <w:bCs/>
                <w:sz w:val="22"/>
                <w:szCs w:val="22"/>
                <w:highlight w:val="yellow"/>
              </w:rPr>
              <w:t xml:space="preserve">  </w:t>
            </w:r>
          </w:p>
        </w:tc>
        <w:tc>
          <w:tcPr>
            <w:tcW w:w="6523" w:type="dxa"/>
            <w:shd w:val="clear" w:color="auto" w:fill="auto"/>
          </w:tcPr>
          <w:p w:rsidR="001B4168" w:rsidRDefault="00B248BF" w:rsidP="009F6B48">
            <w:pPr>
              <w:ind w:firstLine="320"/>
              <w:jc w:val="both"/>
            </w:pPr>
            <w:r w:rsidRPr="00B248BF">
              <w:t>Постачальник надає рахунок за спожиту електричну енергію  до сплати із зазначенням в ньому обсягу споживання, ро</w:t>
            </w:r>
            <w:r w:rsidR="00924204">
              <w:t>зрахованого  оператором системи,</w:t>
            </w:r>
            <w:r w:rsidR="00924204" w:rsidRPr="006D2532">
              <w:rPr>
                <w:sz w:val="22"/>
                <w:szCs w:val="22"/>
              </w:rPr>
              <w:t xml:space="preserve"> після 10 числа місяця, наступного за розрахунковим, але не пізніше останнього календарного дня місяця, наступного за розрахунковим</w:t>
            </w:r>
            <w:r w:rsidR="0068637E">
              <w:rPr>
                <w:sz w:val="22"/>
                <w:szCs w:val="22"/>
              </w:rPr>
              <w:t>.</w:t>
            </w:r>
          </w:p>
        </w:tc>
      </w:tr>
      <w:tr w:rsidR="00924204" w:rsidRPr="004B0214" w:rsidTr="00A904D6">
        <w:tc>
          <w:tcPr>
            <w:tcW w:w="3287" w:type="dxa"/>
            <w:shd w:val="clear" w:color="auto" w:fill="auto"/>
          </w:tcPr>
          <w:p w:rsidR="00924204" w:rsidRPr="0068637E" w:rsidRDefault="00924204" w:rsidP="00924204">
            <w:pPr>
              <w:pStyle w:val="HTML"/>
              <w:rPr>
                <w:rFonts w:ascii="Times New Roman" w:eastAsia="Calibri" w:hAnsi="Times New Roman" w:cs="Times New Roman"/>
                <w:b/>
                <w:bCs/>
                <w:sz w:val="22"/>
                <w:szCs w:val="22"/>
                <w:lang w:val="uk-UA"/>
              </w:rPr>
            </w:pPr>
            <w:r w:rsidRPr="0068637E">
              <w:rPr>
                <w:rFonts w:ascii="Times New Roman" w:hAnsi="Times New Roman" w:cs="Times New Roman"/>
                <w:b/>
                <w:bCs/>
                <w:sz w:val="22"/>
                <w:szCs w:val="22"/>
                <w:lang w:val="uk-UA"/>
              </w:rPr>
              <w:t>Термін (строк) оплати рахунку за спожиту електричну енергію</w:t>
            </w:r>
            <w:r w:rsidRPr="0068637E">
              <w:rPr>
                <w:rFonts w:ascii="Times New Roman" w:eastAsia="Calibri" w:hAnsi="Times New Roman" w:cs="Times New Roman"/>
                <w:b/>
                <w:bCs/>
                <w:sz w:val="22"/>
                <w:szCs w:val="22"/>
                <w:highlight w:val="yellow"/>
                <w:lang w:val="uk-UA"/>
              </w:rPr>
              <w:t xml:space="preserve">  </w:t>
            </w:r>
          </w:p>
        </w:tc>
        <w:tc>
          <w:tcPr>
            <w:tcW w:w="6523" w:type="dxa"/>
            <w:shd w:val="clear" w:color="auto" w:fill="auto"/>
          </w:tcPr>
          <w:p w:rsidR="00924204" w:rsidRPr="0068637E" w:rsidRDefault="0068637E" w:rsidP="00924204">
            <w:pPr>
              <w:pStyle w:val="HTML"/>
              <w:jc w:val="both"/>
              <w:rPr>
                <w:rFonts w:ascii="Times New Roman" w:eastAsia="Calibri" w:hAnsi="Times New Roman" w:cs="Times New Roman"/>
                <w:sz w:val="22"/>
                <w:szCs w:val="22"/>
                <w:lang w:val="uk-UA"/>
              </w:rPr>
            </w:pPr>
            <w:r w:rsidRPr="0068637E">
              <w:rPr>
                <w:rFonts w:ascii="Times New Roman" w:hAnsi="Times New Roman" w:cs="Times New Roman"/>
                <w:sz w:val="22"/>
                <w:szCs w:val="22"/>
                <w:lang w:val="uk-UA"/>
              </w:rPr>
              <w:t>Оплата  має бути здійснена Споживачем протягом 10 робочих днів від дати його отримання, але не пізніше 20 числа місяця наступного за розрахунковим.</w:t>
            </w:r>
          </w:p>
        </w:tc>
      </w:tr>
      <w:tr w:rsidR="0068637E" w:rsidRPr="004B0214" w:rsidTr="00A904D6">
        <w:tc>
          <w:tcPr>
            <w:tcW w:w="3287" w:type="dxa"/>
            <w:shd w:val="clear" w:color="auto" w:fill="auto"/>
          </w:tcPr>
          <w:p w:rsidR="0068637E" w:rsidRPr="009F6B48" w:rsidRDefault="0068637E" w:rsidP="0068637E">
            <w:pPr>
              <w:pStyle w:val="HTML"/>
              <w:rPr>
                <w:rFonts w:ascii="Times New Roman" w:eastAsia="Calibri" w:hAnsi="Times New Roman" w:cs="Times New Roman"/>
                <w:b/>
                <w:bCs/>
                <w:sz w:val="22"/>
                <w:szCs w:val="22"/>
                <w:lang w:val="uk-UA"/>
              </w:rPr>
            </w:pPr>
            <w:r w:rsidRPr="009F6B48">
              <w:rPr>
                <w:rFonts w:ascii="Times New Roman" w:eastAsia="Calibri" w:hAnsi="Times New Roman" w:cs="Times New Roman"/>
                <w:b/>
                <w:bCs/>
                <w:sz w:val="22"/>
                <w:szCs w:val="22"/>
                <w:lang w:val="uk-UA"/>
              </w:rPr>
              <w:t>Розмір пені за порушення строку оплати або штраф</w:t>
            </w:r>
          </w:p>
        </w:tc>
        <w:tc>
          <w:tcPr>
            <w:tcW w:w="6523" w:type="dxa"/>
            <w:shd w:val="clear" w:color="auto" w:fill="auto"/>
          </w:tcPr>
          <w:p w:rsidR="001B4168" w:rsidRPr="009F6B48" w:rsidRDefault="00676A06" w:rsidP="001B4168">
            <w:pPr>
              <w:jc w:val="both"/>
              <w:rPr>
                <w:rFonts w:eastAsia="Calibri"/>
                <w:sz w:val="22"/>
                <w:szCs w:val="22"/>
              </w:rPr>
            </w:pPr>
            <w:r w:rsidRPr="00A40F92">
              <w:rPr>
                <w:rFonts w:eastAsia="Calibri"/>
                <w:sz w:val="22"/>
                <w:szCs w:val="22"/>
              </w:rPr>
              <w:t>За внесення платежів, передбачених умовами Договору, з порушенням термінів, визначених цією комерційною пропозицією, Постачальник має право нарахувати Споживачу пеню в розмірі 0,01% від суми заборгованості за кожен день прострочення. Загальний розмір сплаченої пені не може перевищувати 100% загальної суми боргу</w:t>
            </w:r>
            <w:r>
              <w:rPr>
                <w:rFonts w:eastAsia="Calibri"/>
                <w:sz w:val="22"/>
                <w:szCs w:val="22"/>
              </w:rPr>
              <w:t>.</w:t>
            </w:r>
          </w:p>
        </w:tc>
      </w:tr>
      <w:tr w:rsidR="0068637E" w:rsidRPr="004B0214" w:rsidTr="00A904D6">
        <w:tc>
          <w:tcPr>
            <w:tcW w:w="3287" w:type="dxa"/>
            <w:shd w:val="clear" w:color="auto" w:fill="auto"/>
          </w:tcPr>
          <w:p w:rsidR="0068637E" w:rsidRPr="004B0214" w:rsidRDefault="0068637E" w:rsidP="0068637E">
            <w:pPr>
              <w:pStyle w:val="HTML"/>
              <w:rPr>
                <w:rFonts w:ascii="Times New Roman" w:eastAsia="Calibri" w:hAnsi="Times New Roman" w:cs="Times New Roman"/>
                <w:sz w:val="24"/>
                <w:szCs w:val="24"/>
                <w:lang w:val="uk-UA"/>
              </w:rPr>
            </w:pPr>
            <w:r w:rsidRPr="004045F1">
              <w:rPr>
                <w:rFonts w:ascii="Times New Roman" w:eastAsia="Calibri" w:hAnsi="Times New Roman" w:cs="Times New Roman"/>
                <w:b/>
                <w:bCs/>
                <w:sz w:val="22"/>
                <w:szCs w:val="22"/>
                <w:lang w:val="uk-UA"/>
              </w:rPr>
              <w:t xml:space="preserve">Зобов'язання щодо компенсації споживачу за недотримання </w:t>
            </w:r>
            <w:proofErr w:type="spellStart"/>
            <w:r w:rsidRPr="004045F1">
              <w:rPr>
                <w:rFonts w:ascii="Times New Roman" w:eastAsia="Calibri" w:hAnsi="Times New Roman" w:cs="Times New Roman"/>
                <w:b/>
                <w:bCs/>
                <w:sz w:val="22"/>
                <w:szCs w:val="22"/>
                <w:lang w:val="uk-UA"/>
              </w:rPr>
              <w:t>електропостачальником</w:t>
            </w:r>
            <w:proofErr w:type="spellEnd"/>
            <w:r w:rsidRPr="004045F1">
              <w:rPr>
                <w:rFonts w:ascii="Times New Roman" w:eastAsia="Calibri" w:hAnsi="Times New Roman" w:cs="Times New Roman"/>
                <w:b/>
                <w:bCs/>
                <w:sz w:val="22"/>
                <w:szCs w:val="22"/>
                <w:lang w:val="uk-UA"/>
              </w:rPr>
              <w:t xml:space="preserve"> комерційної якості надання послуг</w:t>
            </w:r>
          </w:p>
        </w:tc>
        <w:tc>
          <w:tcPr>
            <w:tcW w:w="6523" w:type="dxa"/>
            <w:shd w:val="clear" w:color="auto" w:fill="auto"/>
          </w:tcPr>
          <w:p w:rsidR="009F6B48" w:rsidRPr="004B0214" w:rsidRDefault="0068637E" w:rsidP="009F6B48">
            <w:pPr>
              <w:pStyle w:val="HTML"/>
              <w:ind w:right="34" w:firstLine="320"/>
              <w:jc w:val="both"/>
              <w:rPr>
                <w:rFonts w:ascii="Times New Roman" w:eastAsia="Calibri" w:hAnsi="Times New Roman" w:cs="Times New Roman"/>
                <w:sz w:val="24"/>
                <w:szCs w:val="24"/>
                <w:lang w:val="uk-UA"/>
              </w:rPr>
            </w:pPr>
            <w:r w:rsidRPr="00162CFF">
              <w:rPr>
                <w:rFonts w:ascii="Times New Roman" w:eastAsia="Calibri" w:hAnsi="Times New Roman" w:cs="Times New Roman"/>
                <w:sz w:val="24"/>
                <w:szCs w:val="24"/>
                <w:lang w:val="uk-UA"/>
              </w:rPr>
              <w:t>За недотримання Постачальником комерційної якості надання послуг Споживачу надається компенсація в обсягах та у по</w:t>
            </w:r>
            <w:r w:rsidR="009F6B48">
              <w:rPr>
                <w:rFonts w:ascii="Times New Roman" w:eastAsia="Calibri" w:hAnsi="Times New Roman" w:cs="Times New Roman"/>
                <w:sz w:val="24"/>
                <w:szCs w:val="24"/>
                <w:lang w:val="uk-UA"/>
              </w:rPr>
              <w:t>рядку, затверджених Регулятором.</w:t>
            </w:r>
          </w:p>
          <w:p w:rsidR="0068637E" w:rsidRPr="004B0214" w:rsidRDefault="0068637E" w:rsidP="0068637E">
            <w:pPr>
              <w:pStyle w:val="HTML"/>
              <w:ind w:right="34"/>
              <w:jc w:val="both"/>
              <w:rPr>
                <w:rFonts w:ascii="Times New Roman" w:eastAsia="Calibri" w:hAnsi="Times New Roman" w:cs="Times New Roman"/>
                <w:sz w:val="24"/>
                <w:szCs w:val="24"/>
                <w:lang w:val="uk-UA"/>
              </w:rPr>
            </w:pPr>
          </w:p>
        </w:tc>
      </w:tr>
      <w:tr w:rsidR="0068637E" w:rsidRPr="004B0214" w:rsidTr="00A904D6">
        <w:tc>
          <w:tcPr>
            <w:tcW w:w="3287" w:type="dxa"/>
            <w:shd w:val="clear" w:color="auto" w:fill="auto"/>
          </w:tcPr>
          <w:p w:rsidR="0068637E" w:rsidRPr="005E5F3D" w:rsidRDefault="0068637E" w:rsidP="0068637E">
            <w:pPr>
              <w:pStyle w:val="HTML"/>
              <w:rPr>
                <w:rFonts w:ascii="Times New Roman" w:eastAsia="Calibri" w:hAnsi="Times New Roman" w:cs="Times New Roman"/>
                <w:b/>
                <w:sz w:val="24"/>
                <w:szCs w:val="24"/>
                <w:lang w:val="uk-UA"/>
              </w:rPr>
            </w:pPr>
            <w:r w:rsidRPr="005E5F3D">
              <w:rPr>
                <w:rFonts w:ascii="Times New Roman" w:eastAsia="Calibri" w:hAnsi="Times New Roman" w:cs="Times New Roman"/>
                <w:b/>
                <w:sz w:val="24"/>
                <w:szCs w:val="24"/>
                <w:lang w:val="uk-UA"/>
              </w:rPr>
              <w:t>Штраф за дострокове припинення договору</w:t>
            </w:r>
          </w:p>
        </w:tc>
        <w:tc>
          <w:tcPr>
            <w:tcW w:w="6523" w:type="dxa"/>
            <w:shd w:val="clear" w:color="auto" w:fill="auto"/>
          </w:tcPr>
          <w:p w:rsidR="0068637E" w:rsidRPr="004B0214" w:rsidRDefault="00272256" w:rsidP="009F6B48">
            <w:pPr>
              <w:pStyle w:val="HTML"/>
              <w:ind w:right="34" w:firstLine="320"/>
              <w:jc w:val="both"/>
              <w:rPr>
                <w:rFonts w:ascii="Times New Roman" w:eastAsia="Calibri" w:hAnsi="Times New Roman" w:cs="Times New Roman"/>
                <w:sz w:val="24"/>
                <w:szCs w:val="24"/>
                <w:lang w:val="uk-UA"/>
              </w:rPr>
            </w:pPr>
            <w:r w:rsidRPr="004A76BA">
              <w:rPr>
                <w:rFonts w:ascii="Times New Roman" w:eastAsia="Calibri" w:hAnsi="Times New Roman" w:cs="Times New Roman"/>
                <w:sz w:val="22"/>
                <w:szCs w:val="22"/>
                <w:lang w:val="uk-UA"/>
              </w:rPr>
              <w:t>Штрафні санкції за дострокове розірвання Договору за відсутні.</w:t>
            </w:r>
          </w:p>
        </w:tc>
      </w:tr>
      <w:tr w:rsidR="0068637E" w:rsidRPr="004B0214" w:rsidTr="00A904D6">
        <w:tc>
          <w:tcPr>
            <w:tcW w:w="3287" w:type="dxa"/>
            <w:shd w:val="clear" w:color="auto" w:fill="auto"/>
          </w:tcPr>
          <w:p w:rsidR="0068637E" w:rsidRPr="005E5F3D" w:rsidRDefault="0068637E" w:rsidP="0068637E">
            <w:pPr>
              <w:pStyle w:val="HTML"/>
              <w:jc w:val="both"/>
              <w:rPr>
                <w:rFonts w:ascii="Times New Roman" w:eastAsia="Calibri" w:hAnsi="Times New Roman" w:cs="Times New Roman"/>
                <w:b/>
                <w:sz w:val="24"/>
                <w:szCs w:val="24"/>
                <w:lang w:val="uk-UA"/>
              </w:rPr>
            </w:pPr>
            <w:r w:rsidRPr="005E5F3D">
              <w:rPr>
                <w:rFonts w:ascii="Times New Roman" w:eastAsia="Calibri" w:hAnsi="Times New Roman" w:cs="Times New Roman"/>
                <w:b/>
                <w:sz w:val="24"/>
                <w:szCs w:val="24"/>
                <w:lang w:val="uk-UA"/>
              </w:rPr>
              <w:t>Термін дії Договору та умови пролонгації</w:t>
            </w:r>
          </w:p>
        </w:tc>
        <w:tc>
          <w:tcPr>
            <w:tcW w:w="6523" w:type="dxa"/>
            <w:shd w:val="clear" w:color="auto" w:fill="auto"/>
          </w:tcPr>
          <w:p w:rsidR="0068637E" w:rsidRPr="009F6B48" w:rsidRDefault="0068637E" w:rsidP="0068637E">
            <w:pPr>
              <w:ind w:right="34" w:firstLine="320"/>
              <w:jc w:val="both"/>
              <w:rPr>
                <w:rFonts w:eastAsia="Calibri"/>
              </w:rPr>
            </w:pPr>
            <w:r w:rsidRPr="005C0C2A">
              <w:rPr>
                <w:rFonts w:eastAsia="Calibri"/>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r>
              <w:rPr>
                <w:rFonts w:eastAsia="Calibri"/>
                <w:lang w:val="ru-RU"/>
              </w:rPr>
              <w:t xml:space="preserve">, </w:t>
            </w:r>
            <w:r w:rsidRPr="009F6B48">
              <w:rPr>
                <w:rFonts w:eastAsia="Calibri"/>
              </w:rPr>
              <w:t>або до моменту початку постачання електричної енергії Споживачу іншим Постачальником.</w:t>
            </w:r>
          </w:p>
        </w:tc>
      </w:tr>
      <w:tr w:rsidR="0068637E" w:rsidRPr="004B0214" w:rsidTr="00A904D6">
        <w:tc>
          <w:tcPr>
            <w:tcW w:w="3287" w:type="dxa"/>
            <w:shd w:val="clear" w:color="auto" w:fill="auto"/>
          </w:tcPr>
          <w:p w:rsidR="0068637E" w:rsidRPr="005E5F3D" w:rsidRDefault="005E5F3D" w:rsidP="005E5F3D">
            <w:pPr>
              <w:rPr>
                <w:b/>
              </w:rPr>
            </w:pPr>
            <w:r w:rsidRPr="005E5F3D">
              <w:rPr>
                <w:b/>
              </w:rPr>
              <w:t>Надання пільг/</w:t>
            </w:r>
            <w:r w:rsidR="0068637E" w:rsidRPr="005E5F3D">
              <w:rPr>
                <w:b/>
              </w:rPr>
              <w:t>субсидій</w:t>
            </w:r>
          </w:p>
        </w:tc>
        <w:tc>
          <w:tcPr>
            <w:tcW w:w="6523" w:type="dxa"/>
            <w:shd w:val="clear" w:color="auto" w:fill="auto"/>
          </w:tcPr>
          <w:p w:rsidR="0068637E" w:rsidRDefault="005F455D" w:rsidP="0068637E">
            <w:pPr>
              <w:ind w:firstLine="320"/>
            </w:pPr>
            <w:r w:rsidRPr="009F6B48">
              <w:rPr>
                <w:rFonts w:eastAsia="Calibri"/>
                <w:sz w:val="22"/>
                <w:szCs w:val="22"/>
                <w:lang w:val="ru-RU"/>
              </w:rPr>
              <w:t>Не надаются</w:t>
            </w:r>
            <w:r w:rsidR="0068637E" w:rsidRPr="009F6B48">
              <w:t>.</w:t>
            </w:r>
          </w:p>
        </w:tc>
      </w:tr>
      <w:tr w:rsidR="005E5F3D" w:rsidRPr="004B0214" w:rsidTr="00A904D6">
        <w:tc>
          <w:tcPr>
            <w:tcW w:w="3287" w:type="dxa"/>
            <w:shd w:val="clear" w:color="auto" w:fill="auto"/>
          </w:tcPr>
          <w:p w:rsidR="005E5F3D" w:rsidRPr="009F6B48" w:rsidRDefault="005E5F3D" w:rsidP="005E5F3D">
            <w:pPr>
              <w:pStyle w:val="HTML"/>
              <w:rPr>
                <w:rFonts w:ascii="Times New Roman" w:hAnsi="Times New Roman" w:cs="Times New Roman"/>
                <w:b/>
                <w:bCs/>
                <w:sz w:val="22"/>
                <w:szCs w:val="22"/>
                <w:lang w:val="uk-UA"/>
              </w:rPr>
            </w:pPr>
            <w:r w:rsidRPr="009F6B48">
              <w:rPr>
                <w:rFonts w:ascii="Times New Roman" w:hAnsi="Times New Roman" w:cs="Times New Roman"/>
                <w:b/>
                <w:bCs/>
                <w:sz w:val="22"/>
                <w:szCs w:val="22"/>
                <w:lang w:val="uk-UA"/>
              </w:rPr>
              <w:t>Можливість постачання захищеним споживачам</w:t>
            </w:r>
          </w:p>
        </w:tc>
        <w:tc>
          <w:tcPr>
            <w:tcW w:w="6523" w:type="dxa"/>
            <w:shd w:val="clear" w:color="auto" w:fill="auto"/>
          </w:tcPr>
          <w:p w:rsidR="005E5F3D" w:rsidRPr="009F6B48" w:rsidRDefault="005E5F3D" w:rsidP="005E5F3D">
            <w:pPr>
              <w:jc w:val="both"/>
              <w:rPr>
                <w:sz w:val="22"/>
                <w:szCs w:val="22"/>
              </w:rPr>
            </w:pPr>
            <w:r w:rsidRPr="009F6B48">
              <w:rPr>
                <w:sz w:val="22"/>
                <w:szCs w:val="22"/>
              </w:rPr>
              <w:t>Постачання електричної енергії здійснюється відповідно до Порядку забезпечення постачання електричної енергії захищеним споживачам, затвердженого Постановою Кабінету Міністрів України від 27.12.2018 № 1209 зі змінами.</w:t>
            </w:r>
          </w:p>
        </w:tc>
      </w:tr>
      <w:tr w:rsidR="005E5F3D" w:rsidRPr="004B0214" w:rsidTr="00A904D6">
        <w:tc>
          <w:tcPr>
            <w:tcW w:w="3287" w:type="dxa"/>
            <w:shd w:val="clear" w:color="auto" w:fill="auto"/>
          </w:tcPr>
          <w:p w:rsidR="005E5F3D" w:rsidRPr="009F6B48" w:rsidRDefault="005E5F3D" w:rsidP="005E5F3D">
            <w:pPr>
              <w:pStyle w:val="HTML"/>
              <w:jc w:val="both"/>
              <w:rPr>
                <w:rFonts w:ascii="Times New Roman" w:hAnsi="Times New Roman" w:cs="Times New Roman"/>
                <w:b/>
                <w:sz w:val="22"/>
                <w:szCs w:val="22"/>
                <w:lang w:val="uk-UA"/>
              </w:rPr>
            </w:pPr>
            <w:r w:rsidRPr="009F6B48">
              <w:rPr>
                <w:rFonts w:ascii="Times New Roman" w:hAnsi="Times New Roman" w:cs="Times New Roman"/>
                <w:b/>
                <w:color w:val="00000A"/>
                <w:sz w:val="22"/>
                <w:szCs w:val="22"/>
                <w:lang w:val="uk-UA"/>
              </w:rPr>
              <w:t>Е</w:t>
            </w:r>
            <w:r w:rsidRPr="009F6B48">
              <w:rPr>
                <w:rStyle w:val="FontStyle11"/>
                <w:lang w:val="uk-UA" w:eastAsia="uk-UA"/>
              </w:rPr>
              <w:t>лектронний документообіг</w:t>
            </w:r>
          </w:p>
        </w:tc>
        <w:tc>
          <w:tcPr>
            <w:tcW w:w="6523" w:type="dxa"/>
            <w:shd w:val="clear" w:color="auto" w:fill="auto"/>
          </w:tcPr>
          <w:p w:rsidR="005E5F3D" w:rsidRPr="009F6B48" w:rsidRDefault="005E5F3D" w:rsidP="005E5F3D">
            <w:pPr>
              <w:pStyle w:val="Default"/>
              <w:ind w:firstLine="709"/>
              <w:jc w:val="both"/>
              <w:rPr>
                <w:color w:val="auto"/>
                <w:sz w:val="22"/>
                <w:szCs w:val="22"/>
                <w:lang w:val="uk-UA"/>
              </w:rPr>
            </w:pPr>
            <w:r w:rsidRPr="009F6B48">
              <w:rPr>
                <w:color w:val="auto"/>
                <w:sz w:val="22"/>
                <w:szCs w:val="22"/>
                <w:lang w:val="uk-UA"/>
              </w:rPr>
              <w:t>Обмін документами здійснюється з застосуванням положень Закону України «Про електронні документи та електронний документообіг», Закону України «Про електронні довірчі послуги».</w:t>
            </w:r>
          </w:p>
          <w:p w:rsidR="005E5F3D" w:rsidRPr="009F6B48" w:rsidRDefault="005E5F3D" w:rsidP="005E5F3D">
            <w:pPr>
              <w:pStyle w:val="Default"/>
              <w:ind w:firstLine="708"/>
              <w:jc w:val="both"/>
              <w:rPr>
                <w:color w:val="auto"/>
                <w:sz w:val="22"/>
                <w:szCs w:val="22"/>
                <w:lang w:val="uk-UA"/>
              </w:rPr>
            </w:pPr>
            <w:r w:rsidRPr="009F6B48">
              <w:rPr>
                <w:color w:val="auto"/>
                <w:sz w:val="22"/>
                <w:szCs w:val="22"/>
                <w:lang w:val="uk-UA"/>
              </w:rPr>
              <w:t>Надсилання рахунків, актів прийняття-передавання товарної продукції – активної електричної енергії, актів звіряння рахунків, (далі – електронні документи) здійснюється в формі електронних документів.</w:t>
            </w:r>
          </w:p>
          <w:p w:rsidR="005E5F3D" w:rsidRPr="009F6B48" w:rsidRDefault="005E5F3D" w:rsidP="005E5F3D">
            <w:pPr>
              <w:tabs>
                <w:tab w:val="left" w:pos="993"/>
              </w:tabs>
              <w:ind w:firstLine="709"/>
              <w:jc w:val="both"/>
              <w:rPr>
                <w:sz w:val="22"/>
                <w:szCs w:val="22"/>
              </w:rPr>
            </w:pPr>
            <w:r w:rsidRPr="009F6B48">
              <w:rPr>
                <w:bCs/>
                <w:color w:val="000000"/>
                <w:sz w:val="22"/>
                <w:szCs w:val="22"/>
              </w:rPr>
              <w:t>Підписання документів здійснюється з обов'язковим нанесенням</w:t>
            </w:r>
            <w:r w:rsidRPr="009F6B48">
              <w:rPr>
                <w:color w:val="000000"/>
                <w:sz w:val="22"/>
                <w:szCs w:val="22"/>
              </w:rPr>
              <w:t xml:space="preserve"> </w:t>
            </w:r>
            <w:r w:rsidRPr="009F6B48">
              <w:rPr>
                <w:rStyle w:val="fontstyle01"/>
                <w:sz w:val="22"/>
                <w:szCs w:val="22"/>
              </w:rPr>
              <w:t>кваліфікованого електронного підпису та/або печатки (далі – КЕП)</w:t>
            </w:r>
            <w:r w:rsidRPr="009F6B48">
              <w:rPr>
                <w:sz w:val="22"/>
                <w:szCs w:val="22"/>
              </w:rPr>
              <w:t>.</w:t>
            </w:r>
          </w:p>
          <w:p w:rsidR="005E5F3D" w:rsidRPr="009F6B48" w:rsidRDefault="005E5F3D" w:rsidP="005E5F3D">
            <w:pPr>
              <w:tabs>
                <w:tab w:val="left" w:pos="993"/>
              </w:tabs>
              <w:ind w:firstLine="709"/>
              <w:jc w:val="both"/>
              <w:rPr>
                <w:color w:val="000000"/>
                <w:sz w:val="22"/>
                <w:szCs w:val="22"/>
                <w:lang w:val="ru-RU"/>
              </w:rPr>
            </w:pPr>
            <w:r w:rsidRPr="009F6B48">
              <w:rPr>
                <w:sz w:val="22"/>
                <w:szCs w:val="22"/>
                <w:lang w:eastAsia="ru-RU"/>
              </w:rPr>
              <w:lastRenderedPageBreak/>
              <w:t>Датою і часом відправлення електронного документа вважаються дата і час, коли відправлення електронного документа не може бути скасовано відповідальною особою, яка його відправила.</w:t>
            </w:r>
          </w:p>
          <w:p w:rsidR="005E5F3D" w:rsidRPr="009F6B48" w:rsidRDefault="005E5F3D" w:rsidP="005E5F3D">
            <w:pPr>
              <w:tabs>
                <w:tab w:val="left" w:pos="4928"/>
              </w:tabs>
              <w:spacing w:line="240" w:lineRule="atLeast"/>
              <w:ind w:firstLine="709"/>
              <w:jc w:val="both"/>
              <w:rPr>
                <w:color w:val="000000"/>
                <w:sz w:val="22"/>
                <w:szCs w:val="22"/>
              </w:rPr>
            </w:pPr>
            <w:r w:rsidRPr="009F6B48">
              <w:rPr>
                <w:color w:val="000000"/>
                <w:sz w:val="22"/>
                <w:szCs w:val="22"/>
              </w:rPr>
              <w:t xml:space="preserve">Електронні документи вважаються отриманими Споживачем в день його відправлення Постачальником і набирають чинності в цей самий день у разі, якщо протягом трьох робочих днів від його отримання Споживач не надіслав Постачальнику мотивованої відмови від даного пакету електронних документів.  </w:t>
            </w:r>
          </w:p>
          <w:p w:rsidR="005E5F3D" w:rsidRPr="009F6B48" w:rsidRDefault="005E5F3D" w:rsidP="005E5F3D">
            <w:pPr>
              <w:ind w:firstLine="709"/>
              <w:jc w:val="both"/>
              <w:rPr>
                <w:color w:val="000000"/>
                <w:sz w:val="22"/>
                <w:szCs w:val="22"/>
              </w:rPr>
            </w:pPr>
            <w:r w:rsidRPr="009F6B48">
              <w:rPr>
                <w:color w:val="000000"/>
                <w:sz w:val="22"/>
                <w:szCs w:val="22"/>
              </w:rPr>
              <w:t>Протягом трьох робочих днів електронні документи, надіслані Споживачу Постачальником, підписуються з використанням КЕП і надсилаються Споживачем Постачальнику.</w:t>
            </w:r>
          </w:p>
          <w:p w:rsidR="005E5F3D" w:rsidRPr="009F6B48" w:rsidRDefault="005E5F3D" w:rsidP="005E5F3D">
            <w:pPr>
              <w:jc w:val="both"/>
              <w:rPr>
                <w:sz w:val="22"/>
                <w:szCs w:val="22"/>
              </w:rPr>
            </w:pPr>
            <w:r w:rsidRPr="009F6B48">
              <w:rPr>
                <w:color w:val="000000"/>
                <w:sz w:val="22"/>
                <w:szCs w:val="22"/>
              </w:rPr>
              <w:t>Сторони визнають, що електронні документи, підписані з використанням КЕП та передані через систему електронного документообігу, мають повну юридичну силу, породжують права та обов’язки для Сторін, можуть бути представлені до суду в якості належних доказів та</w:t>
            </w:r>
            <w:r w:rsidRPr="009F6B48">
              <w:rPr>
                <w:color w:val="000000"/>
                <w:spacing w:val="-1"/>
                <w:sz w:val="22"/>
                <w:szCs w:val="22"/>
              </w:rPr>
              <w:t xml:space="preserve"> ідентичні за змістом та реквізитами з документами в письмовому вигляді на паперових носіях.</w:t>
            </w:r>
          </w:p>
        </w:tc>
      </w:tr>
      <w:tr w:rsidR="005E5F3D" w:rsidRPr="004B0214" w:rsidTr="00A904D6">
        <w:tc>
          <w:tcPr>
            <w:tcW w:w="3287" w:type="dxa"/>
            <w:shd w:val="clear" w:color="auto" w:fill="auto"/>
          </w:tcPr>
          <w:p w:rsidR="005E5F3D" w:rsidRPr="009F6B48" w:rsidRDefault="005E5F3D" w:rsidP="005E5F3D">
            <w:pPr>
              <w:pStyle w:val="HTML"/>
              <w:jc w:val="both"/>
              <w:rPr>
                <w:rFonts w:ascii="Times New Roman" w:hAnsi="Times New Roman" w:cs="Times New Roman"/>
                <w:b/>
                <w:sz w:val="24"/>
                <w:szCs w:val="24"/>
                <w:lang w:val="uk-UA"/>
              </w:rPr>
            </w:pPr>
            <w:r w:rsidRPr="009F6B48">
              <w:rPr>
                <w:rFonts w:ascii="Times New Roman" w:hAnsi="Times New Roman" w:cs="Times New Roman"/>
                <w:b/>
                <w:sz w:val="24"/>
                <w:szCs w:val="24"/>
                <w:lang w:val="uk-UA"/>
              </w:rPr>
              <w:lastRenderedPageBreak/>
              <w:t>Інші умови</w:t>
            </w:r>
          </w:p>
        </w:tc>
        <w:tc>
          <w:tcPr>
            <w:tcW w:w="6523" w:type="dxa"/>
            <w:shd w:val="clear" w:color="auto" w:fill="auto"/>
          </w:tcPr>
          <w:p w:rsidR="0032153E" w:rsidRPr="00A06953" w:rsidRDefault="0032153E" w:rsidP="0032153E">
            <w:pPr>
              <w:jc w:val="both"/>
              <w:rPr>
                <w:sz w:val="22"/>
                <w:szCs w:val="22"/>
              </w:rPr>
            </w:pPr>
            <w:r w:rsidRPr="00A06953">
              <w:rPr>
                <w:sz w:val="22"/>
                <w:szCs w:val="22"/>
              </w:rPr>
              <w:t xml:space="preserve">Інформування Споживача, з яким укладено Договір, про зміни в умовах Договору, про закінчення терміну дії, зміну тарифів, суми до сплати по рахунках, виставлених згідно з умовами Договору, строки їх оплати, про відключення за несплачену заборгованість, іншу інформацію, яка стосується взаємовідносин Сторін або може бути корисною для Споживача, може здійснюватися шляхом направлення відповідної інформації: </w:t>
            </w:r>
          </w:p>
          <w:p w:rsidR="0032153E" w:rsidRPr="00A06953" w:rsidRDefault="0032153E" w:rsidP="0032153E">
            <w:pPr>
              <w:jc w:val="both"/>
              <w:rPr>
                <w:sz w:val="22"/>
                <w:szCs w:val="22"/>
              </w:rPr>
            </w:pPr>
            <w:r w:rsidRPr="00A06953">
              <w:rPr>
                <w:sz w:val="22"/>
                <w:szCs w:val="22"/>
              </w:rPr>
              <w:t>- через особистий кабінет на своєму офіційному сайті у мережі Інтернет,</w:t>
            </w:r>
          </w:p>
          <w:p w:rsidR="0032153E" w:rsidRPr="00A06953" w:rsidRDefault="0032153E" w:rsidP="0032153E">
            <w:pPr>
              <w:jc w:val="both"/>
              <w:rPr>
                <w:sz w:val="22"/>
                <w:szCs w:val="22"/>
              </w:rPr>
            </w:pPr>
            <w:r w:rsidRPr="00A06953">
              <w:rPr>
                <w:sz w:val="22"/>
                <w:szCs w:val="22"/>
              </w:rPr>
              <w:t xml:space="preserve">-засобами електронного зв'язку на електронну адресу, вказану у заяві-приєднання до умов договору, </w:t>
            </w:r>
          </w:p>
          <w:p w:rsidR="0032153E" w:rsidRPr="00B0020B" w:rsidRDefault="0032153E" w:rsidP="0032153E">
            <w:pPr>
              <w:jc w:val="both"/>
              <w:rPr>
                <w:sz w:val="22"/>
                <w:szCs w:val="22"/>
              </w:rPr>
            </w:pPr>
            <w:r w:rsidRPr="00A06953">
              <w:rPr>
                <w:sz w:val="22"/>
                <w:szCs w:val="22"/>
              </w:rPr>
              <w:t xml:space="preserve">- </w:t>
            </w:r>
            <w:r w:rsidRPr="00B0020B">
              <w:rPr>
                <w:sz w:val="22"/>
                <w:szCs w:val="22"/>
              </w:rPr>
              <w:t>на поштову адресу місця реєстрації</w:t>
            </w:r>
          </w:p>
          <w:p w:rsidR="0032153E" w:rsidRPr="00A06953" w:rsidRDefault="0032153E" w:rsidP="0032153E">
            <w:pPr>
              <w:jc w:val="both"/>
              <w:rPr>
                <w:sz w:val="22"/>
                <w:szCs w:val="22"/>
              </w:rPr>
            </w:pPr>
            <w:r w:rsidRPr="00B0020B">
              <w:rPr>
                <w:sz w:val="22"/>
                <w:szCs w:val="22"/>
              </w:rPr>
              <w:t>-СМС-повідомленням на номер, зазначений</w:t>
            </w:r>
            <w:r w:rsidRPr="00A06953">
              <w:rPr>
                <w:sz w:val="22"/>
                <w:szCs w:val="22"/>
              </w:rPr>
              <w:t xml:space="preserve"> у заяві-приєднання до умов договору, </w:t>
            </w:r>
          </w:p>
          <w:p w:rsidR="005E5F3D" w:rsidRPr="0032153E" w:rsidRDefault="0032153E" w:rsidP="0032153E">
            <w:pPr>
              <w:jc w:val="both"/>
              <w:rPr>
                <w:sz w:val="22"/>
                <w:szCs w:val="22"/>
              </w:rPr>
            </w:pPr>
            <w:r w:rsidRPr="00A06953">
              <w:rPr>
                <w:sz w:val="22"/>
                <w:szCs w:val="22"/>
              </w:rPr>
              <w:t>-в центрах обслуговування споживачів.</w:t>
            </w:r>
          </w:p>
        </w:tc>
      </w:tr>
    </w:tbl>
    <w:p w:rsidR="00986A9C" w:rsidRPr="004B0214" w:rsidRDefault="00986A9C" w:rsidP="00986A9C">
      <w:pPr>
        <w:tabs>
          <w:tab w:val="left" w:pos="1695"/>
        </w:tabs>
      </w:pPr>
    </w:p>
    <w:p w:rsidR="00986A9C" w:rsidRPr="004B0214" w:rsidRDefault="00986A9C" w:rsidP="00986A9C">
      <w:pPr>
        <w:tabs>
          <w:tab w:val="left" w:pos="1695"/>
        </w:tabs>
      </w:pPr>
    </w:p>
    <w:p w:rsidR="00C820D0" w:rsidRDefault="00C820D0" w:rsidP="00C820D0">
      <w:r>
        <w:t>Постачальник:</w:t>
      </w:r>
    </w:p>
    <w:p w:rsidR="00C820D0" w:rsidRPr="00E249B8" w:rsidRDefault="00C820D0" w:rsidP="00C820D0">
      <w:r>
        <w:t>ТОВ «ЕНЕРА СХІД»</w:t>
      </w:r>
    </w:p>
    <w:p w:rsidR="0053273E" w:rsidRPr="004B0214" w:rsidRDefault="001B3117" w:rsidP="004B0214"/>
    <w:sectPr w:rsidR="0053273E" w:rsidRPr="004B0214" w:rsidSect="005E62D6">
      <w:headerReference w:type="even" r:id="rId8"/>
      <w:headerReference w:type="default" r:id="rId9"/>
      <w:footerReference w:type="even" r:id="rId10"/>
      <w:footerReference w:type="default" r:id="rId11"/>
      <w:headerReference w:type="first" r:id="rId12"/>
      <w:footerReference w:type="first" r:id="rId13"/>
      <w:pgSz w:w="11900" w:h="16840"/>
      <w:pgMar w:top="851" w:right="560" w:bottom="709" w:left="1418" w:header="0" w:footer="6" w:gutter="0"/>
      <w:cols w:space="999"/>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3117" w:rsidRDefault="001B3117" w:rsidP="004D7113">
      <w:r>
        <w:separator/>
      </w:r>
    </w:p>
  </w:endnote>
  <w:endnote w:type="continuationSeparator" w:id="0">
    <w:p w:rsidR="001B3117" w:rsidRDefault="001B3117" w:rsidP="004D7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Trebuchet MS">
    <w:panose1 w:val="020B0603020202020204"/>
    <w:charset w:val="CC"/>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65F" w:rsidRDefault="00A4565F">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65F" w:rsidRDefault="00A4565F">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65F" w:rsidRDefault="00A4565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3117" w:rsidRDefault="001B3117" w:rsidP="004D7113">
      <w:r>
        <w:separator/>
      </w:r>
    </w:p>
  </w:footnote>
  <w:footnote w:type="continuationSeparator" w:id="0">
    <w:p w:rsidR="001B3117" w:rsidRDefault="001B3117" w:rsidP="004D71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65F" w:rsidRDefault="00A4565F">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113" w:rsidRPr="004D7113" w:rsidRDefault="00F84DF0" w:rsidP="005E62D6">
    <w:pPr>
      <w:pStyle w:val="1"/>
      <w:ind w:left="3544" w:hanging="4537"/>
      <w:rPr>
        <w:rFonts w:ascii="Times New Roman" w:hAnsi="Times New Roman" w:cs="Times New Roman"/>
        <w:b w:val="0"/>
        <w:color w:val="auto"/>
        <w:sz w:val="22"/>
        <w:szCs w:val="22"/>
      </w:rPr>
    </w:pPr>
    <w:r>
      <w:rPr>
        <w:rFonts w:ascii="Times New Roman" w:hAnsi="Times New Roman" w:cs="Times New Roman"/>
        <w:b w:val="0"/>
        <w:color w:val="auto"/>
        <w:sz w:val="22"/>
        <w:szCs w:val="22"/>
      </w:rPr>
      <w:t xml:space="preserve">                                                                                                                                   </w:t>
    </w:r>
    <w:r w:rsidR="002A7B16">
      <w:rPr>
        <w:rFonts w:ascii="Times New Roman" w:hAnsi="Times New Roman" w:cs="Times New Roman"/>
        <w:b w:val="0"/>
        <w:color w:val="auto"/>
        <w:sz w:val="22"/>
        <w:szCs w:val="22"/>
        <w:lang w:val="ru-RU"/>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2D6" w:rsidRDefault="005E62D6" w:rsidP="005E62D6">
    <w:pPr>
      <w:pStyle w:val="1"/>
      <w:ind w:left="3544" w:hanging="4537"/>
      <w:rPr>
        <w:rFonts w:ascii="Times New Roman" w:hAnsi="Times New Roman" w:cs="Times New Roman"/>
        <w:b w:val="0"/>
        <w:color w:val="auto"/>
        <w:sz w:val="22"/>
        <w:szCs w:val="22"/>
      </w:rPr>
    </w:pPr>
    <w:r>
      <w:rPr>
        <w:rFonts w:ascii="Times New Roman" w:hAnsi="Times New Roman" w:cs="Times New Roman"/>
        <w:b w:val="0"/>
        <w:color w:val="auto"/>
        <w:sz w:val="22"/>
        <w:szCs w:val="22"/>
      </w:rPr>
      <w:t xml:space="preserve">                                                                                                                                   </w:t>
    </w:r>
    <w:r>
      <w:rPr>
        <w:rFonts w:ascii="Times New Roman" w:hAnsi="Times New Roman" w:cs="Times New Roman"/>
        <w:b w:val="0"/>
        <w:color w:val="auto"/>
        <w:sz w:val="22"/>
        <w:szCs w:val="22"/>
        <w:lang w:val="ru-RU"/>
      </w:rPr>
      <w:t xml:space="preserve">                                             </w:t>
    </w:r>
    <w:r w:rsidRPr="004D7113">
      <w:rPr>
        <w:rFonts w:ascii="Times New Roman" w:hAnsi="Times New Roman" w:cs="Times New Roman"/>
        <w:b w:val="0"/>
        <w:color w:val="auto"/>
        <w:sz w:val="22"/>
        <w:szCs w:val="22"/>
      </w:rPr>
      <w:t xml:space="preserve">Додаток № </w:t>
    </w:r>
    <w:r>
      <w:rPr>
        <w:rFonts w:ascii="Times New Roman" w:hAnsi="Times New Roman" w:cs="Times New Roman"/>
        <w:b w:val="0"/>
        <w:color w:val="auto"/>
        <w:sz w:val="22"/>
        <w:szCs w:val="22"/>
      </w:rPr>
      <w:t>3</w:t>
    </w:r>
  </w:p>
  <w:p w:rsidR="005E62D6" w:rsidRDefault="005E62D6" w:rsidP="005E62D6">
    <w:pPr>
      <w:pStyle w:val="1"/>
      <w:spacing w:before="0"/>
      <w:ind w:left="5103"/>
      <w:jc w:val="both"/>
      <w:rPr>
        <w:rFonts w:ascii="Times New Roman" w:hAnsi="Times New Roman" w:cs="Times New Roman"/>
        <w:b w:val="0"/>
        <w:color w:val="auto"/>
        <w:sz w:val="22"/>
        <w:szCs w:val="22"/>
      </w:rPr>
    </w:pPr>
    <w:r>
      <w:rPr>
        <w:rFonts w:ascii="Times New Roman" w:hAnsi="Times New Roman" w:cs="Times New Roman"/>
        <w:b w:val="0"/>
        <w:color w:val="auto"/>
        <w:sz w:val="22"/>
        <w:szCs w:val="22"/>
      </w:rPr>
      <w:t xml:space="preserve">                               </w:t>
    </w:r>
    <w:r>
      <w:rPr>
        <w:rFonts w:ascii="Times New Roman" w:hAnsi="Times New Roman" w:cs="Times New Roman"/>
        <w:b w:val="0"/>
        <w:color w:val="auto"/>
        <w:sz w:val="22"/>
        <w:szCs w:val="22"/>
        <w:lang w:val="ru-RU"/>
      </w:rPr>
      <w:t xml:space="preserve">     </w:t>
    </w:r>
    <w:r>
      <w:rPr>
        <w:rFonts w:ascii="Times New Roman" w:hAnsi="Times New Roman" w:cs="Times New Roman"/>
        <w:b w:val="0"/>
        <w:color w:val="auto"/>
        <w:sz w:val="22"/>
        <w:szCs w:val="22"/>
      </w:rPr>
      <w:t xml:space="preserve">  </w:t>
    </w:r>
    <w:r>
      <w:rPr>
        <w:rFonts w:ascii="Times New Roman" w:hAnsi="Times New Roman" w:cs="Times New Roman"/>
        <w:b w:val="0"/>
        <w:color w:val="auto"/>
        <w:sz w:val="22"/>
        <w:szCs w:val="22"/>
        <w:lang w:val="ru-RU"/>
      </w:rPr>
      <w:t xml:space="preserve"> </w:t>
    </w:r>
    <w:r w:rsidRPr="004D7113">
      <w:rPr>
        <w:rFonts w:ascii="Times New Roman" w:hAnsi="Times New Roman" w:cs="Times New Roman"/>
        <w:b w:val="0"/>
        <w:color w:val="auto"/>
        <w:sz w:val="22"/>
        <w:szCs w:val="22"/>
      </w:rPr>
      <w:t>до договору про постачання</w:t>
    </w:r>
  </w:p>
  <w:p w:rsidR="00A4565F" w:rsidRDefault="005E62D6" w:rsidP="005E62D6">
    <w:pPr>
      <w:pStyle w:val="1"/>
      <w:spacing w:before="0"/>
      <w:ind w:left="6237"/>
      <w:jc w:val="both"/>
    </w:pPr>
    <w:r>
      <w:rPr>
        <w:rFonts w:ascii="Times New Roman" w:hAnsi="Times New Roman" w:cs="Times New Roman"/>
        <w:b w:val="0"/>
        <w:color w:val="auto"/>
        <w:sz w:val="22"/>
        <w:szCs w:val="22"/>
      </w:rPr>
      <w:t xml:space="preserve">     </w:t>
    </w:r>
    <w:r w:rsidRPr="004D7113">
      <w:rPr>
        <w:rFonts w:ascii="Times New Roman" w:hAnsi="Times New Roman" w:cs="Times New Roman"/>
        <w:b w:val="0"/>
        <w:color w:val="auto"/>
        <w:sz w:val="22"/>
        <w:szCs w:val="22"/>
      </w:rPr>
      <w:t>електричної</w:t>
    </w:r>
    <w:r>
      <w:rPr>
        <w:rFonts w:ascii="Times New Roman" w:hAnsi="Times New Roman" w:cs="Times New Roman"/>
        <w:b w:val="0"/>
        <w:color w:val="auto"/>
        <w:sz w:val="22"/>
        <w:szCs w:val="22"/>
      </w:rPr>
      <w:t xml:space="preserve"> </w:t>
    </w:r>
    <w:r w:rsidRPr="004D7113">
      <w:rPr>
        <w:rFonts w:ascii="Times New Roman" w:hAnsi="Times New Roman" w:cs="Times New Roman"/>
        <w:b w:val="0"/>
        <w:color w:val="auto"/>
        <w:sz w:val="22"/>
        <w:szCs w:val="22"/>
      </w:rPr>
      <w:t xml:space="preserve">енергії постачальником </w:t>
    </w:r>
    <w:r>
      <w:rPr>
        <w:rFonts w:ascii="Times New Roman" w:hAnsi="Times New Roman" w:cs="Times New Roman"/>
        <w:b w:val="0"/>
        <w:color w:val="auto"/>
        <w:sz w:val="22"/>
        <w:szCs w:val="22"/>
      </w:rPr>
      <w:t xml:space="preserve">        </w:t>
    </w:r>
    <w:r w:rsidRPr="00F84DF0">
      <w:rPr>
        <w:rFonts w:ascii="Times New Roman" w:hAnsi="Times New Roman" w:cs="Times New Roman"/>
        <w:b w:val="0"/>
        <w:color w:val="FFFFFF" w:themeColor="background1"/>
        <w:sz w:val="22"/>
        <w:szCs w:val="22"/>
      </w:rPr>
      <w:t xml:space="preserve">у </w:t>
    </w:r>
    <w:r>
      <w:rPr>
        <w:rFonts w:ascii="Times New Roman" w:hAnsi="Times New Roman" w:cs="Times New Roman"/>
        <w:b w:val="0"/>
        <w:color w:val="auto"/>
        <w:sz w:val="22"/>
        <w:szCs w:val="22"/>
      </w:rPr>
      <w:t xml:space="preserve">                       </w:t>
    </w:r>
    <w:r>
      <w:rPr>
        <w:rFonts w:ascii="Times New Roman" w:hAnsi="Times New Roman" w:cs="Times New Roman"/>
        <w:b w:val="0"/>
        <w:color w:val="auto"/>
        <w:sz w:val="22"/>
        <w:szCs w:val="22"/>
        <w:lang w:val="ru-RU"/>
      </w:rPr>
      <w:t xml:space="preserve">   </w:t>
    </w:r>
    <w:r>
      <w:rPr>
        <w:rFonts w:ascii="Times New Roman" w:hAnsi="Times New Roman" w:cs="Times New Roman"/>
        <w:b w:val="0"/>
        <w:color w:val="auto"/>
        <w:sz w:val="22"/>
        <w:szCs w:val="22"/>
      </w:rPr>
      <w:t xml:space="preserve"> у</w:t>
    </w:r>
    <w:r w:rsidRPr="004D7113">
      <w:rPr>
        <w:rFonts w:ascii="Times New Roman" w:hAnsi="Times New Roman" w:cs="Times New Roman"/>
        <w:b w:val="0"/>
        <w:color w:val="auto"/>
        <w:sz w:val="22"/>
        <w:szCs w:val="22"/>
      </w:rPr>
      <w:t>ніверсальних послуг</w:t>
    </w:r>
    <w:r>
      <w:rPr>
        <w:rFonts w:ascii="Times New Roman" w:hAnsi="Times New Roman" w:cs="Times New Roman"/>
        <w:b w:val="0"/>
        <w:color w:val="auto"/>
        <w:sz w:val="22"/>
        <w:szCs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84379C"/>
    <w:multiLevelType w:val="hybridMultilevel"/>
    <w:tmpl w:val="7D521B7A"/>
    <w:lvl w:ilvl="0" w:tplc="484A9952">
      <w:numFmt w:val="bullet"/>
      <w:lvlText w:val="-"/>
      <w:lvlJc w:val="left"/>
      <w:pPr>
        <w:ind w:left="680" w:hanging="360"/>
      </w:pPr>
      <w:rPr>
        <w:rFonts w:ascii="Times New Roman" w:eastAsia="Times New Roman" w:hAnsi="Times New Roman" w:cs="Times New Roman" w:hint="default"/>
      </w:rPr>
    </w:lvl>
    <w:lvl w:ilvl="1" w:tplc="04190003" w:tentative="1">
      <w:start w:val="1"/>
      <w:numFmt w:val="bullet"/>
      <w:lvlText w:val="o"/>
      <w:lvlJc w:val="left"/>
      <w:pPr>
        <w:ind w:left="1400" w:hanging="360"/>
      </w:pPr>
      <w:rPr>
        <w:rFonts w:ascii="Courier New" w:hAnsi="Courier New" w:cs="Courier New" w:hint="default"/>
      </w:rPr>
    </w:lvl>
    <w:lvl w:ilvl="2" w:tplc="04190005" w:tentative="1">
      <w:start w:val="1"/>
      <w:numFmt w:val="bullet"/>
      <w:lvlText w:val=""/>
      <w:lvlJc w:val="left"/>
      <w:pPr>
        <w:ind w:left="2120" w:hanging="360"/>
      </w:pPr>
      <w:rPr>
        <w:rFonts w:ascii="Wingdings" w:hAnsi="Wingdings" w:hint="default"/>
      </w:rPr>
    </w:lvl>
    <w:lvl w:ilvl="3" w:tplc="04190001" w:tentative="1">
      <w:start w:val="1"/>
      <w:numFmt w:val="bullet"/>
      <w:lvlText w:val=""/>
      <w:lvlJc w:val="left"/>
      <w:pPr>
        <w:ind w:left="2840" w:hanging="360"/>
      </w:pPr>
      <w:rPr>
        <w:rFonts w:ascii="Symbol" w:hAnsi="Symbol" w:hint="default"/>
      </w:rPr>
    </w:lvl>
    <w:lvl w:ilvl="4" w:tplc="04190003" w:tentative="1">
      <w:start w:val="1"/>
      <w:numFmt w:val="bullet"/>
      <w:lvlText w:val="o"/>
      <w:lvlJc w:val="left"/>
      <w:pPr>
        <w:ind w:left="3560" w:hanging="360"/>
      </w:pPr>
      <w:rPr>
        <w:rFonts w:ascii="Courier New" w:hAnsi="Courier New" w:cs="Courier New" w:hint="default"/>
      </w:rPr>
    </w:lvl>
    <w:lvl w:ilvl="5" w:tplc="04190005" w:tentative="1">
      <w:start w:val="1"/>
      <w:numFmt w:val="bullet"/>
      <w:lvlText w:val=""/>
      <w:lvlJc w:val="left"/>
      <w:pPr>
        <w:ind w:left="4280" w:hanging="360"/>
      </w:pPr>
      <w:rPr>
        <w:rFonts w:ascii="Wingdings" w:hAnsi="Wingdings" w:hint="default"/>
      </w:rPr>
    </w:lvl>
    <w:lvl w:ilvl="6" w:tplc="04190001" w:tentative="1">
      <w:start w:val="1"/>
      <w:numFmt w:val="bullet"/>
      <w:lvlText w:val=""/>
      <w:lvlJc w:val="left"/>
      <w:pPr>
        <w:ind w:left="5000" w:hanging="360"/>
      </w:pPr>
      <w:rPr>
        <w:rFonts w:ascii="Symbol" w:hAnsi="Symbol" w:hint="default"/>
      </w:rPr>
    </w:lvl>
    <w:lvl w:ilvl="7" w:tplc="04190003" w:tentative="1">
      <w:start w:val="1"/>
      <w:numFmt w:val="bullet"/>
      <w:lvlText w:val="o"/>
      <w:lvlJc w:val="left"/>
      <w:pPr>
        <w:ind w:left="5720" w:hanging="360"/>
      </w:pPr>
      <w:rPr>
        <w:rFonts w:ascii="Courier New" w:hAnsi="Courier New" w:cs="Courier New" w:hint="default"/>
      </w:rPr>
    </w:lvl>
    <w:lvl w:ilvl="8" w:tplc="04190005" w:tentative="1">
      <w:start w:val="1"/>
      <w:numFmt w:val="bullet"/>
      <w:lvlText w:val=""/>
      <w:lvlJc w:val="left"/>
      <w:pPr>
        <w:ind w:left="6440" w:hanging="360"/>
      </w:pPr>
      <w:rPr>
        <w:rFonts w:ascii="Wingdings" w:hAnsi="Wingdings" w:hint="default"/>
      </w:rPr>
    </w:lvl>
  </w:abstractNum>
  <w:abstractNum w:abstractNumId="1">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A755FC9"/>
    <w:multiLevelType w:val="hybridMultilevel"/>
    <w:tmpl w:val="93021F76"/>
    <w:lvl w:ilvl="0" w:tplc="484A995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C13"/>
    <w:rsid w:val="00047AE9"/>
    <w:rsid w:val="00053755"/>
    <w:rsid w:val="00072F07"/>
    <w:rsid w:val="000C113B"/>
    <w:rsid w:val="000E05EC"/>
    <w:rsid w:val="00111156"/>
    <w:rsid w:val="00111B9D"/>
    <w:rsid w:val="00116D1B"/>
    <w:rsid w:val="0011722D"/>
    <w:rsid w:val="001265D2"/>
    <w:rsid w:val="001366DB"/>
    <w:rsid w:val="00137B1E"/>
    <w:rsid w:val="00141AAF"/>
    <w:rsid w:val="00162CFF"/>
    <w:rsid w:val="00163417"/>
    <w:rsid w:val="00163C07"/>
    <w:rsid w:val="00197A84"/>
    <w:rsid w:val="001B3117"/>
    <w:rsid w:val="001B4168"/>
    <w:rsid w:val="001E0DA0"/>
    <w:rsid w:val="001E5209"/>
    <w:rsid w:val="001E697A"/>
    <w:rsid w:val="001F238E"/>
    <w:rsid w:val="00210133"/>
    <w:rsid w:val="00223A57"/>
    <w:rsid w:val="0022650A"/>
    <w:rsid w:val="00230AA1"/>
    <w:rsid w:val="0026402D"/>
    <w:rsid w:val="00272256"/>
    <w:rsid w:val="00273936"/>
    <w:rsid w:val="002A7B16"/>
    <w:rsid w:val="002F2F34"/>
    <w:rsid w:val="00302667"/>
    <w:rsid w:val="00313DDD"/>
    <w:rsid w:val="0032153E"/>
    <w:rsid w:val="00327422"/>
    <w:rsid w:val="003437B5"/>
    <w:rsid w:val="00367C6B"/>
    <w:rsid w:val="00374BE3"/>
    <w:rsid w:val="00376C2D"/>
    <w:rsid w:val="00382C1A"/>
    <w:rsid w:val="003963D0"/>
    <w:rsid w:val="003A23C3"/>
    <w:rsid w:val="003B6FBD"/>
    <w:rsid w:val="003C52E5"/>
    <w:rsid w:val="003C7171"/>
    <w:rsid w:val="003D57B9"/>
    <w:rsid w:val="003D6BE6"/>
    <w:rsid w:val="003E3951"/>
    <w:rsid w:val="003E45D0"/>
    <w:rsid w:val="004078F7"/>
    <w:rsid w:val="004129F8"/>
    <w:rsid w:val="004256EA"/>
    <w:rsid w:val="00437E7B"/>
    <w:rsid w:val="00463864"/>
    <w:rsid w:val="00463FB4"/>
    <w:rsid w:val="004A3101"/>
    <w:rsid w:val="004B0214"/>
    <w:rsid w:val="004B4AEF"/>
    <w:rsid w:val="004D1619"/>
    <w:rsid w:val="004D629B"/>
    <w:rsid w:val="004D7113"/>
    <w:rsid w:val="004E7F1D"/>
    <w:rsid w:val="004F47AF"/>
    <w:rsid w:val="00503F02"/>
    <w:rsid w:val="00506D09"/>
    <w:rsid w:val="0053266F"/>
    <w:rsid w:val="0055169D"/>
    <w:rsid w:val="005662AB"/>
    <w:rsid w:val="005710CB"/>
    <w:rsid w:val="00584332"/>
    <w:rsid w:val="005A162D"/>
    <w:rsid w:val="005B61EA"/>
    <w:rsid w:val="005B74FD"/>
    <w:rsid w:val="005C0C2A"/>
    <w:rsid w:val="005D726B"/>
    <w:rsid w:val="005E5F3D"/>
    <w:rsid w:val="005E62D6"/>
    <w:rsid w:val="005F455D"/>
    <w:rsid w:val="00605D00"/>
    <w:rsid w:val="00611E0F"/>
    <w:rsid w:val="00615207"/>
    <w:rsid w:val="0064713A"/>
    <w:rsid w:val="00654062"/>
    <w:rsid w:val="00676A06"/>
    <w:rsid w:val="0068637E"/>
    <w:rsid w:val="0069685B"/>
    <w:rsid w:val="006B2151"/>
    <w:rsid w:val="006D668A"/>
    <w:rsid w:val="0070425C"/>
    <w:rsid w:val="0072138A"/>
    <w:rsid w:val="0072146E"/>
    <w:rsid w:val="0074641C"/>
    <w:rsid w:val="007964D1"/>
    <w:rsid w:val="007C3640"/>
    <w:rsid w:val="007F3508"/>
    <w:rsid w:val="007F4D6E"/>
    <w:rsid w:val="008142AA"/>
    <w:rsid w:val="00871941"/>
    <w:rsid w:val="008E1609"/>
    <w:rsid w:val="008E58A2"/>
    <w:rsid w:val="008F11BB"/>
    <w:rsid w:val="00911C2B"/>
    <w:rsid w:val="00922574"/>
    <w:rsid w:val="00924204"/>
    <w:rsid w:val="00932A9A"/>
    <w:rsid w:val="009548B9"/>
    <w:rsid w:val="00955ABC"/>
    <w:rsid w:val="009636A1"/>
    <w:rsid w:val="00965DC9"/>
    <w:rsid w:val="00972EF7"/>
    <w:rsid w:val="00986844"/>
    <w:rsid w:val="00986A9C"/>
    <w:rsid w:val="009921EF"/>
    <w:rsid w:val="009A05B4"/>
    <w:rsid w:val="009A672C"/>
    <w:rsid w:val="009C7FE9"/>
    <w:rsid w:val="009E4066"/>
    <w:rsid w:val="009E4F9B"/>
    <w:rsid w:val="009F2DD6"/>
    <w:rsid w:val="009F6B48"/>
    <w:rsid w:val="00A1364A"/>
    <w:rsid w:val="00A4565F"/>
    <w:rsid w:val="00A52D0C"/>
    <w:rsid w:val="00A61D9D"/>
    <w:rsid w:val="00A904D6"/>
    <w:rsid w:val="00A91963"/>
    <w:rsid w:val="00A91C64"/>
    <w:rsid w:val="00AA15DB"/>
    <w:rsid w:val="00AB2782"/>
    <w:rsid w:val="00AD12B0"/>
    <w:rsid w:val="00AD2FCE"/>
    <w:rsid w:val="00AF09A6"/>
    <w:rsid w:val="00B150A3"/>
    <w:rsid w:val="00B16CA4"/>
    <w:rsid w:val="00B21C32"/>
    <w:rsid w:val="00B248BF"/>
    <w:rsid w:val="00B41CD1"/>
    <w:rsid w:val="00B70E68"/>
    <w:rsid w:val="00B87CB0"/>
    <w:rsid w:val="00BD0E72"/>
    <w:rsid w:val="00BF3486"/>
    <w:rsid w:val="00C20933"/>
    <w:rsid w:val="00C3787D"/>
    <w:rsid w:val="00C4234E"/>
    <w:rsid w:val="00C70AEC"/>
    <w:rsid w:val="00C820D0"/>
    <w:rsid w:val="00C84B84"/>
    <w:rsid w:val="00CB164B"/>
    <w:rsid w:val="00CC182A"/>
    <w:rsid w:val="00CD5C9F"/>
    <w:rsid w:val="00D33053"/>
    <w:rsid w:val="00D942E7"/>
    <w:rsid w:val="00DA0391"/>
    <w:rsid w:val="00DD3892"/>
    <w:rsid w:val="00DD5A24"/>
    <w:rsid w:val="00DE5E7C"/>
    <w:rsid w:val="00DE6448"/>
    <w:rsid w:val="00E025AF"/>
    <w:rsid w:val="00E12C13"/>
    <w:rsid w:val="00E35DD4"/>
    <w:rsid w:val="00E37BC9"/>
    <w:rsid w:val="00E627AD"/>
    <w:rsid w:val="00E749CF"/>
    <w:rsid w:val="00E76B4F"/>
    <w:rsid w:val="00E862A3"/>
    <w:rsid w:val="00E9580E"/>
    <w:rsid w:val="00EB25FC"/>
    <w:rsid w:val="00EB4A11"/>
    <w:rsid w:val="00ED2931"/>
    <w:rsid w:val="00F06E55"/>
    <w:rsid w:val="00F11D39"/>
    <w:rsid w:val="00F13BF8"/>
    <w:rsid w:val="00F40CD7"/>
    <w:rsid w:val="00F502F6"/>
    <w:rsid w:val="00F53040"/>
    <w:rsid w:val="00F54EAE"/>
    <w:rsid w:val="00F75E81"/>
    <w:rsid w:val="00F84DF0"/>
    <w:rsid w:val="00FB283C"/>
    <w:rsid w:val="00FE623C"/>
    <w:rsid w:val="00FE6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5E3233C-B367-4EC6-AAD4-C4BB10C3F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6A9C"/>
    <w:pPr>
      <w:spacing w:after="0" w:line="240" w:lineRule="auto"/>
    </w:pPr>
    <w:rPr>
      <w:rFonts w:ascii="Times New Roman" w:eastAsia="Times New Roman" w:hAnsi="Times New Roman" w:cs="Times New Roman"/>
      <w:sz w:val="24"/>
      <w:szCs w:val="24"/>
      <w:lang w:val="uk-UA" w:eastAsia="uk-UA"/>
    </w:rPr>
  </w:style>
  <w:style w:type="paragraph" w:styleId="1">
    <w:name w:val="heading 1"/>
    <w:basedOn w:val="a"/>
    <w:next w:val="a"/>
    <w:link w:val="10"/>
    <w:uiPriority w:val="9"/>
    <w:qFormat/>
    <w:rsid w:val="00047AE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lang w:val="ru-RU" w:eastAsia="ru-RU"/>
    </w:rPr>
  </w:style>
  <w:style w:type="character" w:customStyle="1" w:styleId="HTML0">
    <w:name w:val="Стандартний HTML Знак"/>
    <w:basedOn w:val="a0"/>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character" w:customStyle="1" w:styleId="10">
    <w:name w:val="Заголовок 1 Знак"/>
    <w:basedOn w:val="a0"/>
    <w:link w:val="1"/>
    <w:uiPriority w:val="9"/>
    <w:rsid w:val="00047AE9"/>
    <w:rPr>
      <w:rFonts w:asciiTheme="majorHAnsi" w:eastAsiaTheme="majorEastAsia" w:hAnsiTheme="majorHAnsi" w:cstheme="majorBidi"/>
      <w:b/>
      <w:bCs/>
      <w:color w:val="2E74B5" w:themeColor="accent1" w:themeShade="BF"/>
      <w:sz w:val="28"/>
      <w:szCs w:val="28"/>
      <w:lang w:val="uk-UA" w:eastAsia="uk-UA"/>
    </w:rPr>
  </w:style>
  <w:style w:type="paragraph" w:styleId="a5">
    <w:name w:val="header"/>
    <w:basedOn w:val="a"/>
    <w:link w:val="a6"/>
    <w:uiPriority w:val="99"/>
    <w:unhideWhenUsed/>
    <w:rsid w:val="004D7113"/>
    <w:pPr>
      <w:tabs>
        <w:tab w:val="center" w:pos="4677"/>
        <w:tab w:val="right" w:pos="9355"/>
      </w:tabs>
    </w:pPr>
  </w:style>
  <w:style w:type="character" w:customStyle="1" w:styleId="a6">
    <w:name w:val="Верхній колонтитул Знак"/>
    <w:basedOn w:val="a0"/>
    <w:link w:val="a5"/>
    <w:uiPriority w:val="99"/>
    <w:rsid w:val="004D7113"/>
    <w:rPr>
      <w:rFonts w:ascii="Times New Roman" w:eastAsia="Times New Roman" w:hAnsi="Times New Roman" w:cs="Times New Roman"/>
      <w:sz w:val="24"/>
      <w:szCs w:val="24"/>
      <w:lang w:val="uk-UA" w:eastAsia="uk-UA"/>
    </w:rPr>
  </w:style>
  <w:style w:type="paragraph" w:styleId="a7">
    <w:name w:val="footer"/>
    <w:basedOn w:val="a"/>
    <w:link w:val="a8"/>
    <w:uiPriority w:val="99"/>
    <w:unhideWhenUsed/>
    <w:rsid w:val="004D7113"/>
    <w:pPr>
      <w:tabs>
        <w:tab w:val="center" w:pos="4677"/>
        <w:tab w:val="right" w:pos="9355"/>
      </w:tabs>
    </w:pPr>
  </w:style>
  <w:style w:type="character" w:customStyle="1" w:styleId="a8">
    <w:name w:val="Нижній колонтитул Знак"/>
    <w:basedOn w:val="a0"/>
    <w:link w:val="a7"/>
    <w:uiPriority w:val="99"/>
    <w:rsid w:val="004D7113"/>
    <w:rPr>
      <w:rFonts w:ascii="Times New Roman" w:eastAsia="Times New Roman" w:hAnsi="Times New Roman" w:cs="Times New Roman"/>
      <w:sz w:val="24"/>
      <w:szCs w:val="24"/>
      <w:lang w:val="uk-UA" w:eastAsia="uk-UA"/>
    </w:rPr>
  </w:style>
  <w:style w:type="table" w:styleId="a9">
    <w:name w:val="Table Grid"/>
    <w:basedOn w:val="a1"/>
    <w:uiPriority w:val="39"/>
    <w:rsid w:val="007042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463FB4"/>
    <w:rPr>
      <w:rFonts w:ascii="Segoe UI" w:hAnsi="Segoe UI" w:cs="Segoe UI"/>
      <w:sz w:val="18"/>
      <w:szCs w:val="18"/>
    </w:rPr>
  </w:style>
  <w:style w:type="character" w:customStyle="1" w:styleId="ab">
    <w:name w:val="Текст у виносці Знак"/>
    <w:basedOn w:val="a0"/>
    <w:link w:val="aa"/>
    <w:uiPriority w:val="99"/>
    <w:semiHidden/>
    <w:rsid w:val="00463FB4"/>
    <w:rPr>
      <w:rFonts w:ascii="Segoe UI" w:eastAsia="Times New Roman" w:hAnsi="Segoe UI" w:cs="Segoe UI"/>
      <w:sz w:val="18"/>
      <w:szCs w:val="18"/>
      <w:lang w:val="uk-UA" w:eastAsia="uk-UA"/>
    </w:rPr>
  </w:style>
  <w:style w:type="character" w:customStyle="1" w:styleId="fontstyle01">
    <w:name w:val="fontstyle01"/>
    <w:rsid w:val="005E5F3D"/>
    <w:rPr>
      <w:rFonts w:ascii="TimesNewRomanPSMT" w:hAnsi="TimesNewRomanPSMT" w:hint="default"/>
      <w:b w:val="0"/>
      <w:bCs w:val="0"/>
      <w:i w:val="0"/>
      <w:iCs w:val="0"/>
      <w:color w:val="000000"/>
      <w:sz w:val="24"/>
      <w:szCs w:val="24"/>
    </w:rPr>
  </w:style>
  <w:style w:type="paragraph" w:customStyle="1" w:styleId="Default">
    <w:name w:val="Default"/>
    <w:rsid w:val="005E5F3D"/>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FontStyle11">
    <w:name w:val="Font Style11"/>
    <w:uiPriority w:val="99"/>
    <w:rsid w:val="005E5F3D"/>
    <w:rPr>
      <w:rFonts w:ascii="Times New Roman" w:hAnsi="Times New Roman"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1170564476">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757097482">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584605212">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sChild>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1108740173">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466435698">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CC6612-8E30-47E5-B46A-832FCC043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1432</Words>
  <Characters>8164</Characters>
  <Application>Microsoft Office Word</Application>
  <DocSecurity>0</DocSecurity>
  <Lines>68</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ООО "Луганское энергетическое объединение"</Company>
  <LinksUpToDate>false</LinksUpToDate>
  <CharactersWithSpaces>9577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Показания</dc:creator>
  <cp:lastModifiedBy>admin</cp:lastModifiedBy>
  <cp:revision>15</cp:revision>
  <cp:lastPrinted>2021-06-09T11:10:00Z</cp:lastPrinted>
  <dcterms:created xsi:type="dcterms:W3CDTF">2025-05-22T14:37:00Z</dcterms:created>
  <dcterms:modified xsi:type="dcterms:W3CDTF">2025-11-14T10:04:00Z</dcterms:modified>
</cp:coreProperties>
</file>