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327422">
        <w:rPr>
          <w:b/>
        </w:rPr>
        <w:t>0Унп</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986A9C" w:rsidRPr="004B0214" w:rsidRDefault="00986A9C" w:rsidP="00986A9C">
      <w:pPr>
        <w:tabs>
          <w:tab w:val="left" w:pos="1695"/>
        </w:tabs>
        <w:jc w:val="center"/>
      </w:pP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B21C32" w:rsidRPr="00D1202E" w:rsidRDefault="00B21C32" w:rsidP="009F6B4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rsidR="00B21C32" w:rsidRPr="00D1202E" w:rsidRDefault="00B21C32" w:rsidP="009F6B4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Наявний Комерційний облік електричної енергії, що забезпечує можливість застосування цін (тарифів) передбачених даною Комерційною пропозицією; </w:t>
            </w:r>
          </w:p>
          <w:p w:rsidR="00B21C32" w:rsidRPr="00D1202E" w:rsidRDefault="00B21C32" w:rsidP="009F6B4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Об’єкт споживача передбачає споживання електричної енергії для побутових потреб, що не включає професійну та/або господарську діяльність; </w:t>
            </w:r>
          </w:p>
          <w:p w:rsidR="00B21C32" w:rsidRPr="00D1202E" w:rsidRDefault="00B21C32" w:rsidP="009F6B4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Об’єкт споживача приєднаний до мереж оператора системи у встановленому законодавством порядку; </w:t>
            </w:r>
          </w:p>
          <w:p w:rsidR="00B21C32" w:rsidRPr="00D1202E" w:rsidRDefault="00B21C32" w:rsidP="009F6B4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Споживач є стороною діючого договору про надання послуг з розподілу (передачі) електричної енергії; </w:t>
            </w:r>
          </w:p>
          <w:p w:rsidR="00B21C32" w:rsidRDefault="00B21C32" w:rsidP="009F6B48">
            <w:pPr>
              <w:pStyle w:val="HTML"/>
              <w:jc w:val="both"/>
              <w:rPr>
                <w:rFonts w:ascii="Times New Roman" w:eastAsia="Calibri" w:hAnsi="Times New Roman" w:cs="Times New Roman"/>
                <w:b/>
                <w:sz w:val="24"/>
                <w:szCs w:val="24"/>
                <w:lang w:val="uk-UA"/>
              </w:rPr>
            </w:pPr>
            <w:r w:rsidRPr="00D1202E">
              <w:rPr>
                <w:rFonts w:ascii="Times New Roman" w:hAnsi="Times New Roman" w:cs="Times New Roman"/>
                <w:sz w:val="22"/>
                <w:szCs w:val="22"/>
                <w:lang w:val="uk-UA"/>
              </w:rPr>
              <w:t>- Споживач,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37BC9" w:rsidRDefault="00E37BC9" w:rsidP="00E37BC9">
            <w:pPr>
              <w:rPr>
                <w:b/>
              </w:rPr>
            </w:pPr>
            <w:r w:rsidRPr="001F238E">
              <w:rPr>
                <w:b/>
              </w:rPr>
              <w:t>Територія надання універсальних послуг</w:t>
            </w:r>
          </w:p>
          <w:p w:rsidR="00E862A3" w:rsidRDefault="00E862A3" w:rsidP="00E37BC9">
            <w:pPr>
              <w:rPr>
                <w:b/>
              </w:rPr>
            </w:pPr>
          </w:p>
          <w:p w:rsidR="00E862A3" w:rsidRPr="001F238E" w:rsidRDefault="00E862A3" w:rsidP="00E37BC9">
            <w:pPr>
              <w:rPr>
                <w:b/>
              </w:rPr>
            </w:pP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374BE3" w:rsidRPr="00D33053" w:rsidRDefault="00A52D0C" w:rsidP="00374BE3">
            <w:pPr>
              <w:jc w:val="both"/>
              <w:rPr>
                <w:b/>
                <w:sz w:val="22"/>
                <w:szCs w:val="22"/>
              </w:rPr>
            </w:pPr>
            <w:r w:rsidRPr="00D33053">
              <w:rPr>
                <w:rFonts w:ascii="Trebuchet MS" w:hAnsi="Trebuchet MS"/>
                <w:sz w:val="20"/>
                <w:szCs w:val="20"/>
              </w:rPr>
              <w:t xml:space="preserve">   </w:t>
            </w:r>
            <w:r w:rsidR="00374BE3" w:rsidRPr="00D33053">
              <w:rPr>
                <w:b/>
                <w:sz w:val="22"/>
                <w:szCs w:val="22"/>
              </w:rPr>
              <w:t xml:space="preserve">Для побутових потреб: </w:t>
            </w:r>
          </w:p>
          <w:p w:rsidR="00374BE3" w:rsidRPr="00D33053" w:rsidRDefault="00374BE3" w:rsidP="00374BE3">
            <w:pPr>
              <w:jc w:val="both"/>
              <w:rPr>
                <w:sz w:val="22"/>
                <w:szCs w:val="22"/>
              </w:rPr>
            </w:pPr>
            <w:r w:rsidRPr="00D33053">
              <w:rPr>
                <w:sz w:val="22"/>
                <w:szCs w:val="22"/>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w:t>
            </w:r>
            <w:r w:rsidRPr="00D33053">
              <w:rPr>
                <w:rFonts w:ascii="Calibri" w:hAnsi="Calibri" w:cs="Calibri"/>
                <w:sz w:val="22"/>
                <w:szCs w:val="22"/>
              </w:rPr>
              <w:t>'</w:t>
            </w:r>
            <w:r w:rsidRPr="00D33053">
              <w:rPr>
                <w:sz w:val="22"/>
                <w:szCs w:val="22"/>
              </w:rPr>
              <w:t xml:space="preserve">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Міністрів України від 29 квітня 2025 року № 480), а саме – </w:t>
            </w:r>
            <w:r w:rsidRPr="00D33053">
              <w:rPr>
                <w:b/>
                <w:bCs/>
              </w:rPr>
              <w:t>4,32</w:t>
            </w:r>
            <w:r w:rsidRPr="00D33053">
              <w:rPr>
                <w:b/>
              </w:rPr>
              <w:t xml:space="preserve"> грн/</w:t>
            </w:r>
            <w:proofErr w:type="spellStart"/>
            <w:r w:rsidRPr="00D33053">
              <w:rPr>
                <w:b/>
              </w:rPr>
              <w:t>кВт·год</w:t>
            </w:r>
            <w:proofErr w:type="spellEnd"/>
            <w:r w:rsidRPr="00D33053">
              <w:rPr>
                <w:b/>
              </w:rPr>
              <w:t xml:space="preserve"> (з урахуванням ПДВ).</w:t>
            </w:r>
          </w:p>
          <w:p w:rsidR="00374BE3" w:rsidRPr="00D33053" w:rsidRDefault="00374BE3" w:rsidP="00374BE3">
            <w:pPr>
              <w:jc w:val="both"/>
              <w:rPr>
                <w:sz w:val="22"/>
                <w:szCs w:val="22"/>
              </w:rPr>
            </w:pPr>
            <w:r w:rsidRPr="00D33053">
              <w:rPr>
                <w:sz w:val="22"/>
                <w:szCs w:val="22"/>
              </w:rPr>
              <w:t xml:space="preserve">Фіксована ціна на електричну енергію діє з 1 червня 2024 р. по </w:t>
            </w:r>
            <w:r w:rsidRPr="00D33053">
              <w:rPr>
                <w:bCs/>
                <w:sz w:val="22"/>
                <w:szCs w:val="22"/>
              </w:rPr>
              <w:t>3</w:t>
            </w:r>
            <w:r w:rsidR="00612DBC">
              <w:rPr>
                <w:bCs/>
                <w:sz w:val="22"/>
                <w:szCs w:val="22"/>
              </w:rPr>
              <w:t>0 кві</w:t>
            </w:r>
            <w:r w:rsidRPr="00D33053">
              <w:rPr>
                <w:bCs/>
                <w:sz w:val="22"/>
                <w:szCs w:val="22"/>
              </w:rPr>
              <w:t xml:space="preserve">тня  </w:t>
            </w:r>
            <w:r w:rsidRPr="00D33053">
              <w:rPr>
                <w:sz w:val="22"/>
                <w:szCs w:val="22"/>
              </w:rPr>
              <w:t>202</w:t>
            </w:r>
            <w:r w:rsidR="00612DBC">
              <w:rPr>
                <w:sz w:val="22"/>
                <w:szCs w:val="22"/>
              </w:rPr>
              <w:t>6</w:t>
            </w:r>
            <w:r w:rsidRPr="00D33053">
              <w:rPr>
                <w:sz w:val="22"/>
                <w:szCs w:val="22"/>
              </w:rPr>
              <w:t xml:space="preserve"> р</w:t>
            </w:r>
            <w:r w:rsidR="00845651">
              <w:rPr>
                <w:sz w:val="22"/>
                <w:szCs w:val="22"/>
              </w:rPr>
              <w:t>оку</w:t>
            </w:r>
            <w:r w:rsidRPr="00D33053">
              <w:rPr>
                <w:sz w:val="22"/>
                <w:szCs w:val="22"/>
              </w:rPr>
              <w:t xml:space="preserve"> включно.</w:t>
            </w:r>
          </w:p>
          <w:p w:rsidR="00374BE3" w:rsidRPr="00D33053" w:rsidRDefault="00374BE3" w:rsidP="00374BE3">
            <w:pPr>
              <w:jc w:val="both"/>
              <w:rPr>
                <w:sz w:val="22"/>
                <w:szCs w:val="22"/>
              </w:rPr>
            </w:pPr>
          </w:p>
          <w:p w:rsidR="00374BE3" w:rsidRPr="00D33053" w:rsidRDefault="00374BE3" w:rsidP="00374BE3">
            <w:pPr>
              <w:jc w:val="both"/>
              <w:rPr>
                <w:b/>
                <w:sz w:val="22"/>
                <w:szCs w:val="22"/>
              </w:rPr>
            </w:pPr>
            <w:r w:rsidRPr="00D33053">
              <w:rPr>
                <w:b/>
                <w:sz w:val="22"/>
                <w:szCs w:val="22"/>
              </w:rPr>
              <w:t>Для непобутових потреб:</w:t>
            </w:r>
          </w:p>
          <w:p w:rsidR="00374BE3" w:rsidRDefault="00374BE3" w:rsidP="00374BE3">
            <w:pPr>
              <w:jc w:val="both"/>
              <w:rPr>
                <w:sz w:val="22"/>
                <w:szCs w:val="22"/>
              </w:rPr>
            </w:pPr>
            <w:r w:rsidRPr="00D33053">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Default="00D33053" w:rsidP="00374BE3">
            <w:pPr>
              <w:jc w:val="both"/>
              <w:rPr>
                <w:sz w:val="22"/>
                <w:szCs w:val="22"/>
              </w:rPr>
            </w:pPr>
          </w:p>
          <w:p w:rsidR="00D33053" w:rsidRPr="00D33053" w:rsidRDefault="00D33053" w:rsidP="00374BE3">
            <w:pPr>
              <w:jc w:val="both"/>
              <w:rPr>
                <w:sz w:val="22"/>
                <w:szCs w:val="22"/>
              </w:rPr>
            </w:pPr>
          </w:p>
          <w:p w:rsidR="00374BE3" w:rsidRPr="00CC49B2" w:rsidRDefault="00374BE3" w:rsidP="00374BE3">
            <w:pPr>
              <w:jc w:val="both"/>
              <w:rPr>
                <w:sz w:val="22"/>
                <w:szCs w:val="22"/>
              </w:rPr>
            </w:pPr>
            <w:r w:rsidRPr="00D33053">
              <w:rPr>
                <w:b/>
                <w:sz w:val="22"/>
                <w:szCs w:val="22"/>
              </w:rPr>
              <w:lastRenderedPageBreak/>
              <w:t xml:space="preserve">Ціна </w:t>
            </w:r>
            <w:r w:rsidR="00D33053"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w:t>
            </w:r>
            <w:r w:rsidR="000C113B" w:rsidRPr="00D33053">
              <w:rPr>
                <w:b/>
                <w:sz w:val="22"/>
                <w:szCs w:val="22"/>
              </w:rPr>
              <w:t>ТОВ "ЛУГАНСЬКЕ ЕНЕРГЕТИЧНЕ ОБ’ЄДНАННЯ"</w:t>
            </w:r>
            <w:r w:rsidRPr="00D33053">
              <w:rPr>
                <w:b/>
                <w:sz w:val="22"/>
                <w:szCs w:val="22"/>
              </w:rPr>
              <w:t xml:space="preserve"> </w:t>
            </w:r>
            <w:r w:rsidRPr="00D33053">
              <w:rPr>
                <w:sz w:val="22"/>
                <w:szCs w:val="22"/>
              </w:rPr>
              <w:t>згідно з класом напруги</w:t>
            </w:r>
            <w:r w:rsidRPr="00CC49B2">
              <w:rPr>
                <w:sz w:val="22"/>
                <w:szCs w:val="22"/>
              </w:rPr>
              <w:t xml:space="preserve">, </w:t>
            </w:r>
            <w:r w:rsidRPr="00CC49B2">
              <w:rPr>
                <w:b/>
                <w:sz w:val="22"/>
                <w:szCs w:val="22"/>
              </w:rPr>
              <w:t xml:space="preserve">на </w:t>
            </w:r>
            <w:r w:rsidR="00ED7D49">
              <w:rPr>
                <w:b/>
                <w:sz w:val="22"/>
                <w:szCs w:val="22"/>
              </w:rPr>
              <w:t>березень</w:t>
            </w:r>
            <w:r w:rsidRPr="00CC49B2">
              <w:rPr>
                <w:b/>
                <w:sz w:val="22"/>
                <w:szCs w:val="22"/>
              </w:rPr>
              <w:t xml:space="preserve"> 202</w:t>
            </w:r>
            <w:r w:rsidR="0044108D">
              <w:rPr>
                <w:b/>
                <w:sz w:val="22"/>
                <w:szCs w:val="22"/>
              </w:rPr>
              <w:t>6</w:t>
            </w:r>
            <w:r w:rsidRPr="00CC49B2">
              <w:rPr>
                <w:b/>
                <w:sz w:val="22"/>
                <w:szCs w:val="22"/>
              </w:rPr>
              <w:t xml:space="preserve"> року</w:t>
            </w:r>
            <w:r w:rsidRPr="00CC49B2">
              <w:rPr>
                <w:sz w:val="22"/>
                <w:szCs w:val="22"/>
              </w:rPr>
              <w:t xml:space="preserve"> становить: </w:t>
            </w:r>
          </w:p>
          <w:p w:rsidR="00374BE3" w:rsidRPr="00CC49B2" w:rsidRDefault="009F0D08" w:rsidP="00374BE3">
            <w:pPr>
              <w:jc w:val="both"/>
              <w:rPr>
                <w:b/>
                <w:sz w:val="22"/>
                <w:szCs w:val="22"/>
              </w:rPr>
            </w:pPr>
            <w:r w:rsidRPr="00CC49B2">
              <w:rPr>
                <w:b/>
                <w:sz w:val="22"/>
                <w:szCs w:val="22"/>
              </w:rPr>
              <w:t>І клас –</w:t>
            </w:r>
            <w:r w:rsidR="00ED7D49">
              <w:rPr>
                <w:b/>
                <w:sz w:val="22"/>
                <w:szCs w:val="22"/>
              </w:rPr>
              <w:t>13</w:t>
            </w:r>
            <w:r w:rsidR="0027117D">
              <w:rPr>
                <w:b/>
                <w:sz w:val="22"/>
                <w:szCs w:val="22"/>
              </w:rPr>
              <w:t>,</w:t>
            </w:r>
            <w:r w:rsidR="00ED7D49">
              <w:rPr>
                <w:b/>
                <w:sz w:val="22"/>
                <w:szCs w:val="22"/>
              </w:rPr>
              <w:t>11658</w:t>
            </w:r>
            <w:r w:rsidR="00374BE3" w:rsidRPr="00CC49B2">
              <w:rPr>
                <w:b/>
                <w:sz w:val="22"/>
                <w:szCs w:val="22"/>
              </w:rPr>
              <w:t xml:space="preserve">грн/кВт*год (без ПДВ), </w:t>
            </w:r>
          </w:p>
          <w:p w:rsidR="00374BE3" w:rsidRPr="00CC49B2" w:rsidRDefault="00374BE3" w:rsidP="00374BE3">
            <w:pPr>
              <w:jc w:val="both"/>
              <w:rPr>
                <w:b/>
                <w:sz w:val="22"/>
                <w:szCs w:val="22"/>
              </w:rPr>
            </w:pPr>
            <w:r w:rsidRPr="00CC49B2">
              <w:rPr>
                <w:b/>
                <w:sz w:val="22"/>
                <w:szCs w:val="22"/>
              </w:rPr>
              <w:t>ІІ клас -</w:t>
            </w:r>
            <w:r w:rsidR="00C345C4">
              <w:rPr>
                <w:b/>
                <w:sz w:val="22"/>
                <w:szCs w:val="22"/>
              </w:rPr>
              <w:t>1</w:t>
            </w:r>
            <w:r w:rsidR="00ED7D49">
              <w:rPr>
                <w:b/>
                <w:sz w:val="22"/>
                <w:szCs w:val="22"/>
              </w:rPr>
              <w:t>4</w:t>
            </w:r>
            <w:r w:rsidR="007A2F7A">
              <w:rPr>
                <w:b/>
                <w:sz w:val="22"/>
                <w:szCs w:val="22"/>
              </w:rPr>
              <w:t>,</w:t>
            </w:r>
            <w:r w:rsidR="00ED7D49">
              <w:rPr>
                <w:b/>
                <w:sz w:val="22"/>
                <w:szCs w:val="22"/>
              </w:rPr>
              <w:t>70082</w:t>
            </w:r>
            <w:r w:rsidR="007A2F7A">
              <w:rPr>
                <w:b/>
                <w:sz w:val="22"/>
                <w:szCs w:val="22"/>
              </w:rPr>
              <w:t xml:space="preserve"> </w:t>
            </w:r>
            <w:r w:rsidRPr="00CC49B2">
              <w:rPr>
                <w:b/>
                <w:sz w:val="22"/>
                <w:szCs w:val="22"/>
              </w:rPr>
              <w:t xml:space="preserve">грн/кВт*год (без ПДВ). </w:t>
            </w:r>
          </w:p>
          <w:p w:rsidR="00374BE3" w:rsidRPr="00CC49B2" w:rsidRDefault="00374BE3" w:rsidP="00374BE3">
            <w:pPr>
              <w:jc w:val="both"/>
              <w:rPr>
                <w:sz w:val="22"/>
                <w:szCs w:val="22"/>
              </w:rPr>
            </w:pPr>
          </w:p>
          <w:p w:rsidR="00374BE3" w:rsidRPr="00CC49B2" w:rsidRDefault="00374BE3" w:rsidP="00374BE3">
            <w:pPr>
              <w:jc w:val="both"/>
              <w:rPr>
                <w:sz w:val="22"/>
                <w:szCs w:val="22"/>
              </w:rPr>
            </w:pPr>
          </w:p>
          <w:p w:rsidR="00374BE3" w:rsidRPr="00CC49B2" w:rsidRDefault="00374BE3" w:rsidP="00374BE3">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w:t>
            </w:r>
            <w:r w:rsidR="00CC49B2">
              <w:rPr>
                <w:b/>
                <w:sz w:val="22"/>
                <w:szCs w:val="22"/>
              </w:rPr>
              <w:t xml:space="preserve">                                        </w:t>
            </w:r>
            <w:r w:rsidRPr="00CC49B2">
              <w:rPr>
                <w:b/>
                <w:sz w:val="22"/>
                <w:szCs w:val="22"/>
              </w:rPr>
              <w:t xml:space="preserve">АТ "Укрзалізниця" </w:t>
            </w:r>
            <w:r w:rsidRPr="00CC49B2">
              <w:rPr>
                <w:sz w:val="22"/>
                <w:szCs w:val="22"/>
              </w:rPr>
              <w:t>згідно з класом напруги</w:t>
            </w:r>
            <w:r w:rsidRPr="00CC49B2">
              <w:rPr>
                <w:b/>
                <w:sz w:val="22"/>
                <w:szCs w:val="22"/>
              </w:rPr>
              <w:t xml:space="preserve">, на </w:t>
            </w:r>
            <w:r w:rsidR="00ED7D49">
              <w:rPr>
                <w:b/>
                <w:sz w:val="22"/>
                <w:szCs w:val="22"/>
              </w:rPr>
              <w:t>березень</w:t>
            </w:r>
            <w:r w:rsidR="00200214">
              <w:rPr>
                <w:b/>
                <w:sz w:val="22"/>
                <w:szCs w:val="22"/>
              </w:rPr>
              <w:t xml:space="preserve"> 2026</w:t>
            </w:r>
            <w:r w:rsidRPr="00CC49B2">
              <w:rPr>
                <w:b/>
                <w:sz w:val="22"/>
                <w:szCs w:val="22"/>
              </w:rPr>
              <w:t xml:space="preserve"> року </w:t>
            </w:r>
            <w:r w:rsidRPr="00CC49B2">
              <w:rPr>
                <w:sz w:val="22"/>
                <w:szCs w:val="22"/>
              </w:rPr>
              <w:t>становить:</w:t>
            </w:r>
            <w:r w:rsidRPr="00CC49B2">
              <w:rPr>
                <w:b/>
                <w:sz w:val="22"/>
                <w:szCs w:val="22"/>
              </w:rPr>
              <w:t xml:space="preserve"> </w:t>
            </w:r>
          </w:p>
          <w:p w:rsidR="003A23C3" w:rsidRPr="00CC49B2" w:rsidRDefault="00E11B08" w:rsidP="003A23C3">
            <w:pPr>
              <w:jc w:val="both"/>
              <w:rPr>
                <w:b/>
                <w:sz w:val="22"/>
                <w:szCs w:val="22"/>
              </w:rPr>
            </w:pPr>
            <w:r>
              <w:rPr>
                <w:b/>
                <w:sz w:val="22"/>
                <w:szCs w:val="22"/>
              </w:rPr>
              <w:t>І клас – 1</w:t>
            </w:r>
            <w:r w:rsidR="00ED7D49">
              <w:rPr>
                <w:b/>
                <w:sz w:val="22"/>
                <w:szCs w:val="22"/>
              </w:rPr>
              <w:t>3</w:t>
            </w:r>
            <w:r w:rsidR="006116C4">
              <w:rPr>
                <w:b/>
                <w:sz w:val="22"/>
                <w:szCs w:val="22"/>
              </w:rPr>
              <w:t>,</w:t>
            </w:r>
            <w:r w:rsidR="00ED7D49">
              <w:rPr>
                <w:b/>
                <w:sz w:val="22"/>
                <w:szCs w:val="22"/>
              </w:rPr>
              <w:t>09483</w:t>
            </w:r>
            <w:r w:rsidR="003A23C3" w:rsidRPr="00CC49B2">
              <w:rPr>
                <w:b/>
                <w:sz w:val="22"/>
                <w:szCs w:val="22"/>
              </w:rPr>
              <w:t xml:space="preserve"> грн/кВт*год (без ПДВ), </w:t>
            </w:r>
          </w:p>
          <w:p w:rsidR="003A23C3" w:rsidRPr="00CC49B2" w:rsidRDefault="00C4042A" w:rsidP="003A23C3">
            <w:pPr>
              <w:jc w:val="both"/>
              <w:rPr>
                <w:b/>
                <w:sz w:val="22"/>
                <w:szCs w:val="22"/>
              </w:rPr>
            </w:pPr>
            <w:r>
              <w:rPr>
                <w:b/>
                <w:sz w:val="22"/>
                <w:szCs w:val="22"/>
              </w:rPr>
              <w:t xml:space="preserve">ІІ клас – </w:t>
            </w:r>
            <w:r w:rsidR="00B129F9">
              <w:rPr>
                <w:b/>
                <w:sz w:val="22"/>
                <w:szCs w:val="22"/>
              </w:rPr>
              <w:t>1</w:t>
            </w:r>
            <w:r w:rsidR="00ED7D49">
              <w:rPr>
                <w:b/>
                <w:sz w:val="22"/>
                <w:szCs w:val="22"/>
              </w:rPr>
              <w:t>4,58109</w:t>
            </w:r>
            <w:r w:rsidR="003A23C3" w:rsidRPr="00CC49B2">
              <w:rPr>
                <w:b/>
                <w:sz w:val="22"/>
                <w:szCs w:val="22"/>
              </w:rPr>
              <w:t xml:space="preserve"> грн/кВт*год (без ПДВ).</w:t>
            </w:r>
          </w:p>
          <w:p w:rsidR="003A23C3" w:rsidRPr="00CC49B2" w:rsidRDefault="003A23C3" w:rsidP="00374BE3">
            <w:pPr>
              <w:jc w:val="both"/>
              <w:rPr>
                <w:b/>
                <w:sz w:val="22"/>
                <w:szCs w:val="22"/>
              </w:rPr>
            </w:pPr>
          </w:p>
          <w:p w:rsidR="003A23C3" w:rsidRPr="00CC49B2" w:rsidRDefault="003A23C3" w:rsidP="003A23C3">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ДП "РЕМ" </w:t>
            </w:r>
            <w:r w:rsidRPr="00CC49B2">
              <w:rPr>
                <w:sz w:val="22"/>
                <w:szCs w:val="22"/>
              </w:rPr>
              <w:t>згідно з класом напруги,</w:t>
            </w:r>
            <w:r w:rsidRPr="00CC49B2">
              <w:rPr>
                <w:b/>
                <w:sz w:val="22"/>
                <w:szCs w:val="22"/>
              </w:rPr>
              <w:t xml:space="preserve"> на </w:t>
            </w:r>
            <w:r w:rsidR="00ED7D49">
              <w:rPr>
                <w:b/>
                <w:sz w:val="22"/>
                <w:szCs w:val="22"/>
              </w:rPr>
              <w:t>березень</w:t>
            </w:r>
            <w:r w:rsidRPr="00CC49B2">
              <w:rPr>
                <w:b/>
                <w:sz w:val="22"/>
                <w:szCs w:val="22"/>
              </w:rPr>
              <w:t xml:space="preserve"> 202</w:t>
            </w:r>
            <w:r w:rsidR="003F5DBE">
              <w:rPr>
                <w:b/>
                <w:sz w:val="22"/>
                <w:szCs w:val="22"/>
              </w:rPr>
              <w:t>6</w:t>
            </w:r>
            <w:r w:rsidRPr="00CC49B2">
              <w:rPr>
                <w:b/>
                <w:sz w:val="22"/>
                <w:szCs w:val="22"/>
              </w:rPr>
              <w:t xml:space="preserve"> року становить: </w:t>
            </w:r>
          </w:p>
          <w:p w:rsidR="003A23C3" w:rsidRPr="00CC49B2" w:rsidRDefault="003A23C3" w:rsidP="003A23C3">
            <w:pPr>
              <w:jc w:val="both"/>
              <w:rPr>
                <w:b/>
                <w:sz w:val="22"/>
                <w:szCs w:val="22"/>
              </w:rPr>
            </w:pPr>
            <w:r w:rsidRPr="00CC49B2">
              <w:rPr>
                <w:b/>
                <w:sz w:val="22"/>
                <w:szCs w:val="22"/>
              </w:rPr>
              <w:t xml:space="preserve">І клас – </w:t>
            </w:r>
            <w:r w:rsidR="00ED7D49">
              <w:rPr>
                <w:b/>
                <w:sz w:val="22"/>
                <w:szCs w:val="22"/>
              </w:rPr>
              <w:t>12,78992</w:t>
            </w:r>
            <w:r w:rsidRPr="00CC49B2">
              <w:rPr>
                <w:b/>
                <w:sz w:val="22"/>
                <w:szCs w:val="22"/>
              </w:rPr>
              <w:t xml:space="preserve"> грн/кВт*год (без ПДВ), </w:t>
            </w:r>
          </w:p>
          <w:p w:rsidR="003A23C3" w:rsidRPr="00CC49B2" w:rsidRDefault="00470F20" w:rsidP="003A23C3">
            <w:pPr>
              <w:jc w:val="both"/>
              <w:rPr>
                <w:b/>
                <w:sz w:val="22"/>
                <w:szCs w:val="22"/>
              </w:rPr>
            </w:pPr>
            <w:r>
              <w:rPr>
                <w:b/>
                <w:sz w:val="22"/>
                <w:szCs w:val="22"/>
              </w:rPr>
              <w:t xml:space="preserve">ІІ клас – </w:t>
            </w:r>
            <w:r w:rsidR="00ED7D49">
              <w:rPr>
                <w:b/>
                <w:sz w:val="22"/>
                <w:szCs w:val="22"/>
              </w:rPr>
              <w:t>13,</w:t>
            </w:r>
            <w:bookmarkStart w:id="0" w:name="_GoBack"/>
            <w:bookmarkEnd w:id="0"/>
            <w:r w:rsidR="00ED7D49">
              <w:rPr>
                <w:b/>
                <w:sz w:val="22"/>
                <w:szCs w:val="22"/>
              </w:rPr>
              <w:t>03101</w:t>
            </w:r>
            <w:r w:rsidR="003A23C3" w:rsidRPr="00CC49B2">
              <w:rPr>
                <w:b/>
                <w:sz w:val="22"/>
                <w:szCs w:val="22"/>
              </w:rPr>
              <w:t xml:space="preserve"> грн/кВт*год (без ПДВ).</w:t>
            </w:r>
          </w:p>
          <w:p w:rsidR="007C3640" w:rsidRPr="00CC49B2" w:rsidRDefault="007C3640" w:rsidP="00374BE3">
            <w:pPr>
              <w:jc w:val="both"/>
              <w:rPr>
                <w:sz w:val="22"/>
                <w:szCs w:val="22"/>
              </w:rPr>
            </w:pPr>
          </w:p>
          <w:p w:rsidR="00374BE3" w:rsidRPr="00D33053" w:rsidRDefault="00374BE3" w:rsidP="00374BE3">
            <w:pPr>
              <w:jc w:val="both"/>
              <w:rPr>
                <w:sz w:val="22"/>
                <w:szCs w:val="22"/>
              </w:rPr>
            </w:pPr>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lastRenderedPageBreak/>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lastRenderedPageBreak/>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2E70F1"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0F1" w:rsidRDefault="002E70F1" w:rsidP="004D7113">
      <w:r>
        <w:separator/>
      </w:r>
    </w:p>
  </w:endnote>
  <w:endnote w:type="continuationSeparator" w:id="0">
    <w:p w:rsidR="002E70F1" w:rsidRDefault="002E70F1"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0F1" w:rsidRDefault="002E70F1" w:rsidP="004D7113">
      <w:r>
        <w:separator/>
      </w:r>
    </w:p>
  </w:footnote>
  <w:footnote w:type="continuationSeparator" w:id="0">
    <w:p w:rsidR="002E70F1" w:rsidRDefault="002E70F1"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1">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72F07"/>
    <w:rsid w:val="000C113B"/>
    <w:rsid w:val="000E05EC"/>
    <w:rsid w:val="00111156"/>
    <w:rsid w:val="00116D1B"/>
    <w:rsid w:val="0011722D"/>
    <w:rsid w:val="001265D2"/>
    <w:rsid w:val="00137B1E"/>
    <w:rsid w:val="00141AAF"/>
    <w:rsid w:val="00160EFF"/>
    <w:rsid w:val="00162CFF"/>
    <w:rsid w:val="00163417"/>
    <w:rsid w:val="00163C07"/>
    <w:rsid w:val="00197A84"/>
    <w:rsid w:val="001B4168"/>
    <w:rsid w:val="001F238E"/>
    <w:rsid w:val="00200214"/>
    <w:rsid w:val="00210133"/>
    <w:rsid w:val="002107E2"/>
    <w:rsid w:val="00213ED7"/>
    <w:rsid w:val="00223A57"/>
    <w:rsid w:val="0022650A"/>
    <w:rsid w:val="0026402D"/>
    <w:rsid w:val="0027117D"/>
    <w:rsid w:val="00272256"/>
    <w:rsid w:val="00273936"/>
    <w:rsid w:val="002A7B16"/>
    <w:rsid w:val="002E70F1"/>
    <w:rsid w:val="002F2F34"/>
    <w:rsid w:val="00302667"/>
    <w:rsid w:val="00327422"/>
    <w:rsid w:val="003437B5"/>
    <w:rsid w:val="00367C6B"/>
    <w:rsid w:val="00374BE3"/>
    <w:rsid w:val="00376C2D"/>
    <w:rsid w:val="00382C1A"/>
    <w:rsid w:val="00385214"/>
    <w:rsid w:val="0039218F"/>
    <w:rsid w:val="003963D0"/>
    <w:rsid w:val="003A23C3"/>
    <w:rsid w:val="003B6FBD"/>
    <w:rsid w:val="003C52E5"/>
    <w:rsid w:val="003C7171"/>
    <w:rsid w:val="003D57B9"/>
    <w:rsid w:val="003D6BE6"/>
    <w:rsid w:val="003E3951"/>
    <w:rsid w:val="003E45D0"/>
    <w:rsid w:val="003F5DBE"/>
    <w:rsid w:val="004256EA"/>
    <w:rsid w:val="00437E7B"/>
    <w:rsid w:val="0044108D"/>
    <w:rsid w:val="0044537C"/>
    <w:rsid w:val="00463864"/>
    <w:rsid w:val="00463FB4"/>
    <w:rsid w:val="00470F20"/>
    <w:rsid w:val="00496FB1"/>
    <w:rsid w:val="004B0214"/>
    <w:rsid w:val="004B4AEF"/>
    <w:rsid w:val="004C302B"/>
    <w:rsid w:val="004D1619"/>
    <w:rsid w:val="004D629B"/>
    <w:rsid w:val="004D7113"/>
    <w:rsid w:val="004F47AF"/>
    <w:rsid w:val="00502EE0"/>
    <w:rsid w:val="00503F02"/>
    <w:rsid w:val="00506D09"/>
    <w:rsid w:val="0053266F"/>
    <w:rsid w:val="0055169D"/>
    <w:rsid w:val="005662AB"/>
    <w:rsid w:val="005710CB"/>
    <w:rsid w:val="00584332"/>
    <w:rsid w:val="005A162D"/>
    <w:rsid w:val="005B61EA"/>
    <w:rsid w:val="005B74FD"/>
    <w:rsid w:val="005C0C2A"/>
    <w:rsid w:val="005D726B"/>
    <w:rsid w:val="005E5F3D"/>
    <w:rsid w:val="005E62D6"/>
    <w:rsid w:val="005F455D"/>
    <w:rsid w:val="00605D00"/>
    <w:rsid w:val="006116C4"/>
    <w:rsid w:val="00611E0F"/>
    <w:rsid w:val="00612DBC"/>
    <w:rsid w:val="00615207"/>
    <w:rsid w:val="0064713A"/>
    <w:rsid w:val="00654062"/>
    <w:rsid w:val="0068637E"/>
    <w:rsid w:val="0069685B"/>
    <w:rsid w:val="006B2151"/>
    <w:rsid w:val="006D668A"/>
    <w:rsid w:val="0070425C"/>
    <w:rsid w:val="0072138A"/>
    <w:rsid w:val="0072146E"/>
    <w:rsid w:val="0074641C"/>
    <w:rsid w:val="007964D1"/>
    <w:rsid w:val="007A2F7A"/>
    <w:rsid w:val="007B4AA5"/>
    <w:rsid w:val="007C3640"/>
    <w:rsid w:val="007F3508"/>
    <w:rsid w:val="007F4D6E"/>
    <w:rsid w:val="00845651"/>
    <w:rsid w:val="00871941"/>
    <w:rsid w:val="008C207B"/>
    <w:rsid w:val="008E1609"/>
    <w:rsid w:val="008E58A2"/>
    <w:rsid w:val="008F11BB"/>
    <w:rsid w:val="00911C2B"/>
    <w:rsid w:val="00922574"/>
    <w:rsid w:val="00924204"/>
    <w:rsid w:val="00932A9A"/>
    <w:rsid w:val="009548B9"/>
    <w:rsid w:val="00955ABC"/>
    <w:rsid w:val="009636A1"/>
    <w:rsid w:val="00965DC9"/>
    <w:rsid w:val="00972EF7"/>
    <w:rsid w:val="00985CF4"/>
    <w:rsid w:val="00986844"/>
    <w:rsid w:val="00986A9C"/>
    <w:rsid w:val="009921EF"/>
    <w:rsid w:val="009965E6"/>
    <w:rsid w:val="009A672C"/>
    <w:rsid w:val="009C7FE9"/>
    <w:rsid w:val="009E4F9B"/>
    <w:rsid w:val="009F0D08"/>
    <w:rsid w:val="009F2DD6"/>
    <w:rsid w:val="009F6B48"/>
    <w:rsid w:val="00A1364A"/>
    <w:rsid w:val="00A153F5"/>
    <w:rsid w:val="00A4565F"/>
    <w:rsid w:val="00A52D0C"/>
    <w:rsid w:val="00A61D9D"/>
    <w:rsid w:val="00A63083"/>
    <w:rsid w:val="00A904D6"/>
    <w:rsid w:val="00A91963"/>
    <w:rsid w:val="00AA15DB"/>
    <w:rsid w:val="00AB2782"/>
    <w:rsid w:val="00AD12B0"/>
    <w:rsid w:val="00AF09A6"/>
    <w:rsid w:val="00B129F9"/>
    <w:rsid w:val="00B16CA4"/>
    <w:rsid w:val="00B21C32"/>
    <w:rsid w:val="00B248BF"/>
    <w:rsid w:val="00B41CD1"/>
    <w:rsid w:val="00B64C46"/>
    <w:rsid w:val="00B70E68"/>
    <w:rsid w:val="00B87CB0"/>
    <w:rsid w:val="00BC1A77"/>
    <w:rsid w:val="00BD0E72"/>
    <w:rsid w:val="00BF3486"/>
    <w:rsid w:val="00C20933"/>
    <w:rsid w:val="00C345C4"/>
    <w:rsid w:val="00C345E6"/>
    <w:rsid w:val="00C4042A"/>
    <w:rsid w:val="00C4234E"/>
    <w:rsid w:val="00C43E96"/>
    <w:rsid w:val="00C70AEC"/>
    <w:rsid w:val="00C820D0"/>
    <w:rsid w:val="00C84B84"/>
    <w:rsid w:val="00C877E3"/>
    <w:rsid w:val="00CA4AE9"/>
    <w:rsid w:val="00CB164B"/>
    <w:rsid w:val="00CC182A"/>
    <w:rsid w:val="00CC49B2"/>
    <w:rsid w:val="00CD5C9F"/>
    <w:rsid w:val="00D17D4A"/>
    <w:rsid w:val="00D33053"/>
    <w:rsid w:val="00D942E7"/>
    <w:rsid w:val="00DA0391"/>
    <w:rsid w:val="00DD3892"/>
    <w:rsid w:val="00DD5A24"/>
    <w:rsid w:val="00DE5E7C"/>
    <w:rsid w:val="00DE6448"/>
    <w:rsid w:val="00E11B08"/>
    <w:rsid w:val="00E12C13"/>
    <w:rsid w:val="00E35DD4"/>
    <w:rsid w:val="00E37BC9"/>
    <w:rsid w:val="00E627AD"/>
    <w:rsid w:val="00E76B4F"/>
    <w:rsid w:val="00E862A3"/>
    <w:rsid w:val="00E9580E"/>
    <w:rsid w:val="00EB25FC"/>
    <w:rsid w:val="00EB4A11"/>
    <w:rsid w:val="00ED2931"/>
    <w:rsid w:val="00ED7D49"/>
    <w:rsid w:val="00F06E55"/>
    <w:rsid w:val="00F1042A"/>
    <w:rsid w:val="00F11D39"/>
    <w:rsid w:val="00F13BF8"/>
    <w:rsid w:val="00F40CD7"/>
    <w:rsid w:val="00F502F6"/>
    <w:rsid w:val="00F53040"/>
    <w:rsid w:val="00F54EAE"/>
    <w:rsid w:val="00F84DF0"/>
    <w:rsid w:val="00F84E9D"/>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D8808-66FB-46E6-A3EA-0B335D038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1310</Words>
  <Characters>7471</Characters>
  <Application>Microsoft Office Word</Application>
  <DocSecurity>0</DocSecurity>
  <Lines>62</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Обліковий запис Microsoft</cp:lastModifiedBy>
  <cp:revision>4</cp:revision>
  <cp:lastPrinted>2021-06-09T11:10:00Z</cp:lastPrinted>
  <dcterms:created xsi:type="dcterms:W3CDTF">2026-02-24T10:09:00Z</dcterms:created>
  <dcterms:modified xsi:type="dcterms:W3CDTF">2026-02-24T10:31:00Z</dcterms:modified>
</cp:coreProperties>
</file>